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line="270" w:lineRule="atLeast"/>
        <w:ind w:right="-512" w:rightChars="-244" w:firstLine="627" w:firstLineChars="100"/>
        <w:jc w:val="both"/>
        <w:rPr>
          <w:rFonts w:hint="eastAsia" w:ascii="宋体" w:hAnsi="宋体" w:eastAsia="宋体" w:cs="宋体"/>
          <w:b/>
          <w:bCs/>
          <w:color w:val="FF0000"/>
          <w:spacing w:val="24"/>
          <w:w w:val="80"/>
          <w:sz w:val="72"/>
          <w:szCs w:val="72"/>
        </w:rPr>
      </w:pPr>
      <w:r>
        <w:rPr>
          <w:rFonts w:hint="eastAsia" w:ascii="宋体" w:hAnsi="宋体" w:eastAsia="宋体" w:cs="宋体"/>
          <w:b/>
          <w:bCs/>
          <w:color w:val="FF0000"/>
          <w:spacing w:val="24"/>
          <w:w w:val="80"/>
          <w:sz w:val="72"/>
          <w:szCs w:val="72"/>
        </w:rPr>
        <w:t>粤港澳大湾区标准创新联盟</w:t>
      </w:r>
    </w:p>
    <w:p>
      <w:pPr>
        <w:spacing w:line="240" w:lineRule="auto"/>
        <w:jc w:val="center"/>
        <w:rPr>
          <w:rFonts w:hint="eastAsia" w:ascii="宋体" w:hAnsi="宋体" w:eastAsia="宋体" w:cs="宋体"/>
          <w:b/>
          <w:bCs/>
          <w:color w:val="FF0000"/>
          <w:spacing w:val="24"/>
          <w:w w:val="80"/>
          <w:kern w:val="2"/>
          <w:sz w:val="44"/>
          <w:szCs w:val="44"/>
          <w:lang w:val="en-US" w:eastAsia="zh-CN" w:bidi="ar-SA"/>
        </w:rPr>
      </w:pPr>
      <w:r>
        <w:rPr>
          <w:rFonts w:hint="eastAsia" w:ascii="宋体" w:hAnsi="宋体" w:eastAsia="宋体" w:cs="宋体"/>
          <w:b/>
          <w:bCs/>
          <w:color w:val="FF0000"/>
          <w:spacing w:val="24"/>
          <w:w w:val="80"/>
          <w:kern w:val="2"/>
          <w:sz w:val="44"/>
          <w:szCs w:val="44"/>
          <w:lang w:val="en-US" w:eastAsia="zh-CN" w:bidi="ar-SA"/>
        </w:rPr>
        <w:t xml:space="preserve"> 生命和生物技术委员会</w:t>
      </w:r>
    </w:p>
    <w:p>
      <w:pPr>
        <w:rPr>
          <w:rFonts w:ascii="仿宋" w:hAnsi="仿宋" w:cs="仿宋"/>
          <w:b/>
          <w:bCs/>
          <w:color w:val="FF0000"/>
          <w:spacing w:val="24"/>
          <w:w w:val="80"/>
          <w:sz w:val="72"/>
          <w:szCs w:val="18"/>
        </w:rPr>
      </w:pPr>
      <w:r>
        <w:rPr>
          <w:rFonts w:hint="eastAsia" w:ascii="仿宋" w:hAnsi="仿宋" w:cs="仿宋"/>
          <w:b/>
          <w:bCs/>
          <w:color w:val="FF0000"/>
          <w:spacing w:val="24"/>
          <w:w w:val="80"/>
          <w:sz w:val="72"/>
          <w:szCs w:val="18"/>
        </w:rPr>
        <mc:AlternateContent>
          <mc:Choice Requires="wps">
            <w:drawing>
              <wp:anchor distT="0" distB="0" distL="114300" distR="114300" simplePos="0" relativeHeight="251659264" behindDoc="0" locked="0" layoutInCell="1" allowOverlap="1">
                <wp:simplePos x="0" y="0"/>
                <wp:positionH relativeFrom="column">
                  <wp:posOffset>121285</wp:posOffset>
                </wp:positionH>
                <wp:positionV relativeFrom="paragraph">
                  <wp:posOffset>282575</wp:posOffset>
                </wp:positionV>
                <wp:extent cx="5012690" cy="13335"/>
                <wp:effectExtent l="0" t="28575" r="16510" b="34290"/>
                <wp:wrapNone/>
                <wp:docPr id="1" name="直接箭头连接符 1"/>
                <wp:cNvGraphicFramePr/>
                <a:graphic xmlns:a="http://schemas.openxmlformats.org/drawingml/2006/main">
                  <a:graphicData uri="http://schemas.microsoft.com/office/word/2010/wordprocessingShape">
                    <wps:wsp>
                      <wps:cNvCnPr/>
                      <wps:spPr>
                        <a:xfrm flipV="1">
                          <a:off x="0" y="0"/>
                          <a:ext cx="5012690" cy="13335"/>
                        </a:xfrm>
                        <a:prstGeom prst="straightConnector1">
                          <a:avLst/>
                        </a:prstGeom>
                        <a:ln w="57150" cap="flat" cmpd="thinThick">
                          <a:solidFill>
                            <a:srgbClr val="FF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9.55pt;margin-top:22.25pt;height:1.05pt;width:394.7pt;z-index:251659264;mso-width-relative:page;mso-height-relative:page;" filled="f" stroked="t" coordsize="21600,21600" o:gfxdata="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HAG9XZAAAACAEAAA8AAAAAAAAAAQAg&#10;AAAAIgAAAGRycy9kb3ducmV2LnhtbFBLAQIUABQAAAAIAIdO4kDLfmkjDQIAAAEEAAAOAAAAAAAA&#10;AAEAIAAAACgBAABkcnMvZTJvRG9jLnhtbFBLBQYAAAAABgAGAFkBAACnBQAAAAA=&#10;">
                <v:fill on="f" focussize="0,0"/>
                <v:stroke weight="4.5pt" color="#FF0000" linestyle="thinThick" joinstyle="round"/>
                <v:imagedata o:title=""/>
                <o:lock v:ext="edit" aspectratio="f"/>
              </v:shape>
            </w:pict>
          </mc:Fallback>
        </mc:AlternateContent>
      </w:r>
    </w:p>
    <w:p>
      <w:pPr>
        <w:spacing w:line="288" w:lineRule="auto"/>
        <w:jc w:val="center"/>
        <w:rPr>
          <w:rFonts w:hint="eastAsia" w:ascii="宋体" w:hAnsi="宋体" w:eastAsia="宋体" w:cs="宋体"/>
          <w:b/>
          <w:bCs/>
          <w:sz w:val="44"/>
          <w:szCs w:val="44"/>
        </w:rPr>
      </w:pPr>
      <w:r>
        <w:rPr>
          <w:rFonts w:hint="eastAsia" w:ascii="宋体" w:hAnsi="宋体" w:eastAsia="宋体" w:cs="宋体"/>
          <w:b/>
          <w:bCs/>
          <w:sz w:val="44"/>
          <w:szCs w:val="44"/>
        </w:rPr>
        <w:t>首届“深圳标准化活动周”系列活动之生命科技产业集群标准体系建设研讨会专场</w:t>
      </w:r>
    </w:p>
    <w:p>
      <w:pPr>
        <w:spacing w:line="288" w:lineRule="auto"/>
        <w:jc w:val="center"/>
        <w:rPr>
          <w:rFonts w:hint="eastAsia" w:ascii="宋体" w:hAnsi="宋体" w:eastAsia="宋体" w:cs="宋体"/>
          <w:b/>
          <w:bCs/>
          <w:sz w:val="44"/>
          <w:szCs w:val="44"/>
        </w:rPr>
      </w:pPr>
      <w:r>
        <w:rPr>
          <w:rFonts w:hint="eastAsia" w:ascii="宋体" w:hAnsi="宋体" w:eastAsia="宋体" w:cs="宋体"/>
          <w:b/>
          <w:bCs/>
          <w:sz w:val="44"/>
          <w:szCs w:val="44"/>
        </w:rPr>
        <w:t>暨粤港澳大湾区标准创新联盟生命和</w:t>
      </w:r>
    </w:p>
    <w:p>
      <w:pPr>
        <w:spacing w:line="288" w:lineRule="auto"/>
        <w:jc w:val="center"/>
        <w:rPr>
          <w:rFonts w:hint="eastAsia" w:ascii="宋体" w:hAnsi="宋体" w:eastAsia="宋体" w:cs="宋体"/>
          <w:b/>
          <w:bCs/>
          <w:sz w:val="44"/>
          <w:szCs w:val="44"/>
        </w:rPr>
      </w:pPr>
      <w:r>
        <w:rPr>
          <w:rFonts w:hint="eastAsia" w:ascii="宋体" w:hAnsi="宋体" w:eastAsia="宋体" w:cs="宋体"/>
          <w:b/>
          <w:bCs/>
          <w:sz w:val="44"/>
          <w:szCs w:val="44"/>
        </w:rPr>
        <w:t>生物技术委员会启动会邀请函</w:t>
      </w:r>
    </w:p>
    <w:p>
      <w:pPr>
        <w:spacing w:line="560" w:lineRule="exact"/>
        <w:rPr>
          <w:rFonts w:ascii="仿宋" w:hAnsi="仿宋" w:eastAsia="仿宋" w:cs="仿宋"/>
          <w:spacing w:val="8"/>
          <w:position w:val="1"/>
          <w:sz w:val="32"/>
          <w:szCs w:val="32"/>
        </w:rPr>
      </w:pPr>
    </w:p>
    <w:p>
      <w:pPr>
        <w:snapToGrid w:val="0"/>
        <w:spacing w:line="288" w:lineRule="auto"/>
        <w:jc w:val="both"/>
        <w:rPr>
          <w:rFonts w:ascii="仿宋" w:hAnsi="仿宋" w:eastAsia="仿宋" w:cs="仿宋"/>
          <w:b/>
          <w:bCs/>
          <w:spacing w:val="2"/>
          <w:sz w:val="32"/>
          <w:szCs w:val="32"/>
        </w:rPr>
      </w:pPr>
      <w:r>
        <w:rPr>
          <w:rFonts w:hint="eastAsia" w:ascii="仿宋" w:hAnsi="仿宋" w:eastAsia="仿宋" w:cs="仿宋"/>
          <w:b/>
          <w:bCs/>
          <w:spacing w:val="2"/>
          <w:sz w:val="32"/>
          <w:szCs w:val="32"/>
        </w:rPr>
        <w:t>尊敬的专家：</w:t>
      </w:r>
    </w:p>
    <w:p>
      <w:pPr>
        <w:spacing w:line="560" w:lineRule="exact"/>
        <w:ind w:firstLine="632" w:firstLineChars="200"/>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rPr>
        <w:t>为深入贯彻党的二十大精神和《国家标准化发展纲要》战略部署，将省、市两级高质量发展大会重要部署落地落细落实，持续从产业、实践等角度全面推进标准化工作，突出标准引领创新作用，整合国际国内标准创新资源，不断提升标准化水平，由深圳标准工作领导小组办公室、深圳市市场监督管理局主办首届“深圳标准化活动周”，活动主题是“标准引领高质量发展”。其中“生命科技产业集群标准体系建设研讨会专场暨粤港澳大湾区标准创新联盟生命和生物技术委员会启动会”由粤港澳大湾区标准创新联盟承办，拟定于2023年5月6日在深圳国家基因库举行。</w:t>
      </w:r>
    </w:p>
    <w:p>
      <w:pPr>
        <w:spacing w:line="560" w:lineRule="exact"/>
        <w:ind w:firstLine="632" w:firstLineChars="200"/>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rPr>
        <w:t>生物经济一直是国家重点关注的行业之一，国家发改委2022年5月印发《“十四五”生物经济发展规划》（《规划》），明确了生物经济发展的具体任务。《规划》明确，要着力做大做强生物经济，到2025年生物经济成为推动高质量发展的强劲动力。在深圳市市场监督管理局的指导下，粤港澳大湾区标准创新联盟生命和生物技术委员会于2021年正式成立。该委员会秘书处承担单位是深圳华大智造科技股份有限公司，旨在面向国家重大需求、面向人民生命健康所需，就研究前沿生物技术（例如基因组学、时空组学、细胞技术等）基础标准、生命大数据及数据库标准、生物安全标准、医疗装备标准、生物医药产业智能制造标准、疾病精准预防控制设施建设标准、公共卫生防控救治能力建设中涉及的产品和服务标准等多个层次和领域，推动湾区生命和生物技术标准化体系建设和落实，加强标准与科技创新的互动发展，促进湾区生命健康领域创新模式发展。</w:t>
      </w:r>
    </w:p>
    <w:p>
      <w:pPr>
        <w:spacing w:line="560" w:lineRule="exact"/>
        <w:ind w:firstLine="632" w:firstLineChars="200"/>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rPr>
        <w:t>本次启动会将进行联盟介绍、生命及生物技术委员会工作章程审议、委员会成员单位介绍、湾区标准研讨等议程，依托联盟相关成员单位搭建项目及标准平台，紧密团结湾区地区政府、科技企业、社会组织、科研院所、医疗机构等，推动湾区生命和生物技术标准共享、共有、共为。</w:t>
      </w:r>
    </w:p>
    <w:p>
      <w:pPr>
        <w:spacing w:line="560" w:lineRule="exact"/>
        <w:ind w:firstLine="632" w:firstLineChars="200"/>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rPr>
        <w:t>衷心感谢您对粤港澳大湾区标准创新联盟生命和生物技术委员会工作的指导和支持！</w:t>
      </w:r>
    </w:p>
    <w:p>
      <w:pPr>
        <w:spacing w:line="560" w:lineRule="exact"/>
        <w:ind w:firstLine="632" w:firstLineChars="200"/>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rPr>
        <w:t>诚邀您及贵单位出席此次会议！</w:t>
      </w:r>
    </w:p>
    <w:p>
      <w:pPr>
        <w:spacing w:line="560" w:lineRule="exact"/>
        <w:ind w:firstLine="632" w:firstLineChars="200"/>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rPr>
        <w:t>请填写《参会回执》，并于2023年4月25日前发送至邮箱： MGI_standard@mgi-tech.com。</w:t>
      </w:r>
    </w:p>
    <w:p>
      <w:pPr>
        <w:spacing w:line="560" w:lineRule="exact"/>
        <w:ind w:firstLine="632" w:firstLineChars="200"/>
        <w:rPr>
          <w:rFonts w:hint="eastAsia" w:ascii="仿宋" w:hAnsi="仿宋" w:eastAsia="仿宋" w:cs="仿宋"/>
          <w:spacing w:val="-2"/>
          <w:position w:val="1"/>
          <w:sz w:val="32"/>
          <w:szCs w:val="32"/>
        </w:rPr>
      </w:pPr>
    </w:p>
    <w:p>
      <w:pPr>
        <w:pStyle w:val="2"/>
        <w:rPr>
          <w:rFonts w:hint="eastAsia"/>
        </w:rPr>
      </w:pPr>
    </w:p>
    <w:p>
      <w:pPr>
        <w:spacing w:line="560" w:lineRule="exact"/>
        <w:ind w:firstLine="632" w:firstLineChars="200"/>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rPr>
        <w:t>附件：</w:t>
      </w:r>
    </w:p>
    <w:p>
      <w:pPr>
        <w:spacing w:line="560" w:lineRule="exact"/>
        <w:ind w:firstLine="632" w:firstLineChars="200"/>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rPr>
        <w:t>一、会议日程</w:t>
      </w:r>
    </w:p>
    <w:p>
      <w:pPr>
        <w:spacing w:line="560" w:lineRule="exact"/>
        <w:ind w:firstLine="632" w:firstLineChars="200"/>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rPr>
        <w:t>二、参会回执</w:t>
      </w:r>
    </w:p>
    <w:p>
      <w:pPr>
        <w:pStyle w:val="2"/>
        <w:rPr>
          <w:rFonts w:hint="eastAsia"/>
        </w:rPr>
      </w:pPr>
    </w:p>
    <w:p>
      <w:pPr>
        <w:rPr>
          <w:rFonts w:hint="eastAsia" w:ascii="黑体" w:hAnsi="黑体" w:eastAsia="黑体" w:cs="黑体"/>
          <w:bCs/>
          <w:spacing w:val="10"/>
          <w:sz w:val="32"/>
          <w:szCs w:val="32"/>
        </w:rPr>
      </w:pPr>
      <w:bookmarkStart w:id="0" w:name="_top"/>
      <w:bookmarkEnd w:id="0"/>
    </w:p>
    <w:p>
      <w:pPr>
        <w:spacing w:line="560" w:lineRule="exact"/>
        <w:ind w:firstLine="632" w:firstLineChars="200"/>
        <w:jc w:val="center"/>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lang w:val="en-US" w:eastAsia="zh-CN"/>
        </w:rPr>
        <w:t xml:space="preserve">                   </w:t>
      </w:r>
      <w:r>
        <w:rPr>
          <w:rFonts w:hint="eastAsia" w:ascii="仿宋" w:hAnsi="仿宋" w:eastAsia="仿宋" w:cs="仿宋"/>
          <w:spacing w:val="-2"/>
          <w:position w:val="1"/>
          <w:sz w:val="32"/>
          <w:szCs w:val="32"/>
        </w:rPr>
        <w:t>粤港澳大湾区标准创新联盟</w:t>
      </w:r>
    </w:p>
    <w:p>
      <w:pPr>
        <w:spacing w:line="560" w:lineRule="exact"/>
        <w:ind w:firstLine="632" w:firstLineChars="200"/>
        <w:jc w:val="right"/>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rPr>
        <w:t>生命和生物技术委员会秘书处单位</w:t>
      </w:r>
    </w:p>
    <w:p>
      <w:pPr>
        <w:spacing w:line="560" w:lineRule="exact"/>
        <w:ind w:firstLine="632" w:firstLineChars="200"/>
        <w:jc w:val="center"/>
        <w:rPr>
          <w:rFonts w:hint="eastAsia" w:ascii="仿宋" w:hAnsi="仿宋" w:eastAsia="仿宋" w:cs="仿宋"/>
          <w:spacing w:val="-2"/>
          <w:position w:val="1"/>
          <w:sz w:val="32"/>
          <w:szCs w:val="32"/>
        </w:rPr>
      </w:pPr>
      <w:r>
        <w:rPr>
          <w:rFonts w:hint="eastAsia" w:ascii="仿宋" w:hAnsi="仿宋" w:eastAsia="仿宋" w:cs="仿宋"/>
          <w:spacing w:val="-2"/>
          <w:position w:val="1"/>
          <w:sz w:val="32"/>
          <w:szCs w:val="32"/>
          <w:lang w:val="en-US" w:eastAsia="zh-CN"/>
        </w:rPr>
        <w:t xml:space="preserve">                    </w:t>
      </w:r>
      <w:r>
        <w:rPr>
          <w:rFonts w:hint="eastAsia" w:ascii="仿宋" w:hAnsi="仿宋" w:eastAsia="仿宋" w:cs="仿宋"/>
          <w:spacing w:val="-2"/>
          <w:position w:val="1"/>
          <w:sz w:val="32"/>
          <w:szCs w:val="32"/>
        </w:rPr>
        <w:t>深圳华大智造科技股份有限公司</w:t>
      </w:r>
    </w:p>
    <w:p>
      <w:pPr>
        <w:spacing w:line="560" w:lineRule="exact"/>
        <w:ind w:firstLine="632" w:firstLineChars="200"/>
        <w:jc w:val="center"/>
        <w:rPr>
          <w:rFonts w:hint="default" w:ascii="仿宋" w:hAnsi="仿宋" w:eastAsia="仿宋" w:cs="仿宋"/>
          <w:spacing w:val="-2"/>
          <w:position w:val="1"/>
          <w:sz w:val="32"/>
          <w:szCs w:val="32"/>
          <w:lang w:val="en-US" w:eastAsia="zh-CN"/>
        </w:rPr>
      </w:pPr>
      <w:r>
        <w:rPr>
          <w:rFonts w:hint="eastAsia" w:ascii="仿宋" w:hAnsi="仿宋" w:eastAsia="仿宋" w:cs="仿宋"/>
          <w:spacing w:val="-2"/>
          <w:position w:val="1"/>
          <w:sz w:val="32"/>
          <w:szCs w:val="32"/>
          <w:lang w:val="en-US" w:eastAsia="zh-CN"/>
        </w:rPr>
        <w:t xml:space="preserve">                    2023年4月14日</w:t>
      </w:r>
    </w:p>
    <w:p>
      <w:pPr>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r>
        <w:rPr>
          <w:rFonts w:hint="eastAsia" w:ascii="黑体" w:hAnsi="黑体" w:eastAsia="黑体" w:cs="黑体"/>
          <w:bCs/>
          <w:spacing w:val="10"/>
          <w:sz w:val="32"/>
          <w:szCs w:val="32"/>
        </w:rPr>
        <w:t>附件1</w:t>
      </w:r>
    </w:p>
    <w:p>
      <w:pPr>
        <w:pStyle w:val="2"/>
        <w:rPr>
          <w:rFonts w:hint="eastAsia" w:ascii="黑体" w:hAnsi="黑体" w:eastAsia="黑体" w:cs="黑体"/>
          <w:bCs/>
          <w:spacing w:val="10"/>
          <w:sz w:val="32"/>
          <w:szCs w:val="32"/>
        </w:rPr>
      </w:pPr>
    </w:p>
    <w:p/>
    <w:p>
      <w:pPr>
        <w:jc w:val="center"/>
        <w:rPr>
          <w:rFonts w:ascii="方正小标宋_GBK" w:hAnsi="方正小标宋_GBK" w:eastAsia="方正小标宋_GBK"/>
          <w:sz w:val="44"/>
          <w:szCs w:val="44"/>
        </w:rPr>
      </w:pPr>
      <w:r>
        <w:rPr>
          <w:rFonts w:hint="eastAsia" w:ascii="方正小标宋_GBK" w:hAnsi="方正小标宋_GBK" w:eastAsia="方正小标宋_GBK"/>
          <w:sz w:val="44"/>
          <w:szCs w:val="44"/>
          <w:lang w:val="en-US" w:eastAsia="zh-CN"/>
        </w:rPr>
        <w:t xml:space="preserve">    </w:t>
      </w:r>
      <w:r>
        <w:rPr>
          <w:rFonts w:hint="eastAsia" w:ascii="方正小标宋_GBK" w:hAnsi="方正小标宋_GBK" w:eastAsia="方正小标宋_GBK"/>
          <w:sz w:val="44"/>
          <w:szCs w:val="44"/>
        </w:rPr>
        <w:t>会议日程表</w:t>
      </w:r>
    </w:p>
    <w:tbl>
      <w:tblPr>
        <w:tblStyle w:val="7"/>
        <w:tblW w:w="10065"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8"/>
        <w:gridCol w:w="2516"/>
        <w:gridCol w:w="4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65" w:type="dxa"/>
            <w:gridSpan w:val="3"/>
            <w:shd w:val="clear" w:color="auto" w:fill="D8D8D8" w:themeFill="background1" w:themeFillShade="D9"/>
            <w:vAlign w:val="center"/>
          </w:tcPr>
          <w:p>
            <w:pPr>
              <w:spacing w:line="500" w:lineRule="exact"/>
              <w:jc w:val="center"/>
              <w:rPr>
                <w:rFonts w:ascii="仿宋_GB2312" w:hAnsi="仿宋_GB2312" w:eastAsia="仿宋_GB2312" w:cs="仿宋"/>
                <w:b/>
                <w:bCs/>
                <w:kern w:val="0"/>
                <w:sz w:val="30"/>
                <w:szCs w:val="30"/>
              </w:rPr>
            </w:pPr>
            <w:r>
              <w:rPr>
                <w:rFonts w:hint="eastAsia" w:ascii="仿宋_GB2312" w:hAnsi="仿宋_GB2312" w:eastAsia="仿宋_GB2312" w:cs="仿宋"/>
                <w:b/>
                <w:bCs/>
                <w:kern w:val="0"/>
                <w:sz w:val="30"/>
                <w:szCs w:val="30"/>
              </w:rPr>
              <w:t>首届“</w:t>
            </w:r>
            <w:bookmarkStart w:id="1" w:name="_GoBack"/>
            <w:bookmarkEnd w:id="1"/>
            <w:r>
              <w:rPr>
                <w:rFonts w:hint="eastAsia" w:ascii="仿宋_GB2312" w:hAnsi="仿宋_GB2312" w:eastAsia="仿宋_GB2312" w:cs="仿宋"/>
                <w:b/>
                <w:bCs/>
                <w:kern w:val="0"/>
                <w:sz w:val="30"/>
                <w:szCs w:val="30"/>
              </w:rPr>
              <w:t>深圳标准化活动周”系列活动</w:t>
            </w:r>
          </w:p>
          <w:p>
            <w:pPr>
              <w:spacing w:line="500" w:lineRule="exact"/>
              <w:jc w:val="center"/>
              <w:rPr>
                <w:rFonts w:ascii="仿宋_GB2312" w:hAnsi="仿宋_GB2312" w:eastAsia="仿宋_GB2312" w:cs="仿宋"/>
                <w:b/>
                <w:bCs/>
                <w:kern w:val="0"/>
                <w:sz w:val="30"/>
                <w:szCs w:val="30"/>
              </w:rPr>
            </w:pPr>
            <w:r>
              <w:rPr>
                <w:rFonts w:ascii="仿宋_GB2312" w:hAnsi="仿宋_GB2312" w:eastAsia="仿宋_GB2312" w:cs="仿宋"/>
                <w:b/>
                <w:bCs/>
                <w:kern w:val="0"/>
                <w:sz w:val="30"/>
                <w:szCs w:val="30"/>
              </w:rPr>
              <w:t>--生命科技产业集群标准体系建设研讨会专场</w:t>
            </w:r>
          </w:p>
          <w:p>
            <w:pPr>
              <w:spacing w:line="500" w:lineRule="exact"/>
              <w:jc w:val="center"/>
              <w:rPr>
                <w:rFonts w:ascii="仿宋_GB2312" w:hAnsi="仿宋_GB2312" w:eastAsia="仿宋_GB2312" w:cs="仿宋"/>
                <w:kern w:val="0"/>
                <w:sz w:val="30"/>
                <w:szCs w:val="30"/>
              </w:rPr>
            </w:pPr>
            <w:r>
              <w:rPr>
                <w:rFonts w:hint="eastAsia" w:ascii="仿宋_GB2312" w:hAnsi="仿宋_GB2312" w:eastAsia="仿宋_GB2312" w:cs="仿宋"/>
                <w:b/>
                <w:bCs/>
                <w:kern w:val="0"/>
                <w:sz w:val="30"/>
                <w:szCs w:val="30"/>
              </w:rPr>
              <w:t>暨粤港澳大湾区标准创新联盟生命和生物技术委员会启动会议程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104" w:type="dxa"/>
            <w:gridSpan w:val="2"/>
            <w:shd w:val="clear" w:color="auto" w:fill="FFFFFF" w:themeFill="background1"/>
            <w:vAlign w:val="center"/>
          </w:tcPr>
          <w:p>
            <w:pPr>
              <w:spacing w:line="500" w:lineRule="exact"/>
              <w:jc w:val="center"/>
              <w:rPr>
                <w:rFonts w:ascii="仿宋_GB2312" w:hAnsi="仿宋_GB2312" w:eastAsia="仿宋_GB2312" w:cs="仿宋"/>
                <w:b/>
                <w:bCs/>
                <w:kern w:val="0"/>
                <w:sz w:val="28"/>
                <w:szCs w:val="28"/>
              </w:rPr>
            </w:pPr>
            <w:r>
              <w:rPr>
                <w:rFonts w:hint="eastAsia" w:ascii="仿宋_GB2312" w:hAnsi="仿宋_GB2312" w:eastAsia="仿宋_GB2312" w:cs="仿宋"/>
                <w:kern w:val="0"/>
                <w:sz w:val="28"/>
                <w:szCs w:val="28"/>
              </w:rPr>
              <w:t>会议日期：</w:t>
            </w:r>
            <w:r>
              <w:rPr>
                <w:rFonts w:ascii="仿宋" w:hAnsi="仿宋" w:eastAsia="仿宋" w:cs="仿宋"/>
                <w:kern w:val="0"/>
                <w:sz w:val="28"/>
                <w:szCs w:val="28"/>
              </w:rPr>
              <w:t>2023</w:t>
            </w:r>
            <w:r>
              <w:rPr>
                <w:rFonts w:hint="eastAsia" w:ascii="仿宋" w:hAnsi="仿宋" w:eastAsia="仿宋" w:cs="仿宋"/>
                <w:kern w:val="0"/>
                <w:sz w:val="28"/>
                <w:szCs w:val="28"/>
              </w:rPr>
              <w:t>年5月6日</w:t>
            </w:r>
          </w:p>
        </w:tc>
        <w:tc>
          <w:tcPr>
            <w:tcW w:w="4961" w:type="dxa"/>
            <w:shd w:val="clear" w:color="auto" w:fill="FFFFFF" w:themeFill="background1"/>
            <w:vAlign w:val="center"/>
          </w:tcPr>
          <w:p>
            <w:pPr>
              <w:spacing w:line="500" w:lineRule="exact"/>
              <w:jc w:val="center"/>
              <w:rPr>
                <w:rFonts w:ascii="仿宋_GB2312" w:hAnsi="仿宋_GB2312" w:eastAsia="仿宋_GB2312" w:cs="仿宋"/>
                <w:b/>
                <w:bCs/>
                <w:kern w:val="0"/>
                <w:sz w:val="28"/>
                <w:szCs w:val="28"/>
              </w:rPr>
            </w:pPr>
            <w:r>
              <w:rPr>
                <w:rFonts w:hint="eastAsia" w:ascii="仿宋_GB2312" w:hAnsi="仿宋_GB2312" w:eastAsia="仿宋_GB2312" w:cs="仿宋"/>
                <w:kern w:val="0"/>
                <w:sz w:val="28"/>
                <w:szCs w:val="28"/>
              </w:rPr>
              <w:t>会议地址：</w:t>
            </w:r>
            <w:r>
              <w:rPr>
                <w:rFonts w:hint="eastAsia" w:ascii="仿宋" w:hAnsi="仿宋" w:eastAsia="仿宋" w:cs="仿宋"/>
                <w:kern w:val="0"/>
                <w:sz w:val="28"/>
                <w:szCs w:val="28"/>
              </w:rPr>
              <w:t>深圳国家基因库5</w:t>
            </w:r>
            <w:r>
              <w:rPr>
                <w:rFonts w:ascii="仿宋" w:hAnsi="仿宋" w:eastAsia="仿宋" w:cs="仿宋"/>
                <w:kern w:val="0"/>
                <w:sz w:val="28"/>
                <w:szCs w:val="28"/>
              </w:rPr>
              <w:t>02</w:t>
            </w:r>
            <w:r>
              <w:rPr>
                <w:rFonts w:hint="eastAsia" w:ascii="仿宋" w:hAnsi="仿宋" w:eastAsia="仿宋" w:cs="仿宋"/>
                <w:kern w:val="0"/>
                <w:sz w:val="28"/>
                <w:szCs w:val="28"/>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88" w:type="dxa"/>
            <w:shd w:val="clear" w:color="auto" w:fill="FFFFFF" w:themeFill="background1"/>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时间</w:t>
            </w:r>
          </w:p>
        </w:tc>
        <w:tc>
          <w:tcPr>
            <w:tcW w:w="7477" w:type="dxa"/>
            <w:gridSpan w:val="2"/>
            <w:shd w:val="clear" w:color="auto" w:fill="FFFFFF" w:themeFill="background1"/>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88" w:type="dxa"/>
            <w:vAlign w:val="center"/>
          </w:tcPr>
          <w:p>
            <w:pPr>
              <w:spacing w:line="500" w:lineRule="exact"/>
              <w:jc w:val="center"/>
              <w:rPr>
                <w:rFonts w:ascii="仿宋_GB2312" w:hAnsi="仿宋_GB2312" w:eastAsia="仿宋_GB2312" w:cs="仿宋"/>
                <w:kern w:val="0"/>
                <w:sz w:val="28"/>
                <w:szCs w:val="28"/>
              </w:rPr>
            </w:pPr>
            <w:r>
              <w:rPr>
                <w:rFonts w:ascii="仿宋_GB2312" w:hAnsi="仿宋_GB2312" w:eastAsia="仿宋_GB2312" w:cs="仿宋"/>
                <w:kern w:val="0"/>
                <w:sz w:val="28"/>
                <w:szCs w:val="28"/>
              </w:rPr>
              <w:t>09:00</w:t>
            </w:r>
            <w:r>
              <w:rPr>
                <w:rFonts w:hint="eastAsia" w:ascii="仿宋_GB2312" w:hAnsi="仿宋_GB2312" w:eastAsia="仿宋_GB2312" w:cs="仿宋"/>
                <w:kern w:val="0"/>
                <w:sz w:val="28"/>
                <w:szCs w:val="28"/>
              </w:rPr>
              <w:t>-</w:t>
            </w:r>
            <w:r>
              <w:rPr>
                <w:rFonts w:ascii="仿宋_GB2312" w:hAnsi="仿宋_GB2312" w:eastAsia="仿宋_GB2312" w:cs="仿宋"/>
                <w:kern w:val="0"/>
                <w:sz w:val="28"/>
                <w:szCs w:val="28"/>
              </w:rPr>
              <w:t>09</w:t>
            </w:r>
            <w:r>
              <w:rPr>
                <w:rFonts w:hint="eastAsia" w:ascii="仿宋_GB2312" w:hAnsi="仿宋_GB2312" w:eastAsia="仿宋_GB2312" w:cs="仿宋"/>
                <w:kern w:val="0"/>
                <w:sz w:val="28"/>
                <w:szCs w:val="28"/>
              </w:rPr>
              <w:t>:</w:t>
            </w:r>
            <w:r>
              <w:rPr>
                <w:rFonts w:ascii="仿宋_GB2312" w:hAnsi="仿宋_GB2312" w:eastAsia="仿宋_GB2312" w:cs="仿宋"/>
                <w:kern w:val="0"/>
                <w:sz w:val="28"/>
                <w:szCs w:val="28"/>
              </w:rPr>
              <w:t>3</w:t>
            </w:r>
            <w:r>
              <w:rPr>
                <w:rFonts w:hint="eastAsia" w:ascii="仿宋_GB2312" w:hAnsi="仿宋_GB2312" w:eastAsia="仿宋_GB2312" w:cs="仿宋"/>
                <w:kern w:val="0"/>
                <w:sz w:val="28"/>
                <w:szCs w:val="28"/>
              </w:rPr>
              <w:t>0</w:t>
            </w:r>
          </w:p>
        </w:tc>
        <w:tc>
          <w:tcPr>
            <w:tcW w:w="7477" w:type="dxa"/>
            <w:gridSpan w:val="2"/>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签到入场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88" w:type="dxa"/>
            <w:vAlign w:val="center"/>
          </w:tcPr>
          <w:p>
            <w:pPr>
              <w:spacing w:line="500" w:lineRule="exact"/>
              <w:jc w:val="center"/>
              <w:rPr>
                <w:rFonts w:ascii="仿宋_GB2312" w:hAnsi="仿宋_GB2312" w:eastAsia="仿宋_GB2312" w:cs="仿宋"/>
                <w:kern w:val="0"/>
                <w:sz w:val="28"/>
                <w:szCs w:val="28"/>
              </w:rPr>
            </w:pPr>
            <w:r>
              <w:rPr>
                <w:rFonts w:ascii="仿宋_GB2312" w:hAnsi="仿宋_GB2312" w:eastAsia="仿宋_GB2312" w:cs="仿宋"/>
                <w:kern w:val="0"/>
                <w:sz w:val="28"/>
                <w:szCs w:val="28"/>
              </w:rPr>
              <w:t>0</w:t>
            </w:r>
            <w:r>
              <w:rPr>
                <w:rFonts w:hint="eastAsia" w:ascii="仿宋_GB2312" w:hAnsi="仿宋_GB2312" w:eastAsia="仿宋_GB2312" w:cs="仿宋"/>
                <w:kern w:val="0"/>
                <w:sz w:val="28"/>
                <w:szCs w:val="28"/>
              </w:rPr>
              <w:t>9:</w:t>
            </w:r>
            <w:r>
              <w:rPr>
                <w:rFonts w:ascii="仿宋_GB2312" w:hAnsi="仿宋_GB2312" w:eastAsia="仿宋_GB2312" w:cs="仿宋"/>
                <w:kern w:val="0"/>
                <w:sz w:val="28"/>
                <w:szCs w:val="28"/>
              </w:rPr>
              <w:t>30</w:t>
            </w:r>
            <w:r>
              <w:rPr>
                <w:rFonts w:hint="eastAsia" w:ascii="仿宋_GB2312" w:hAnsi="仿宋_GB2312" w:eastAsia="仿宋_GB2312" w:cs="仿宋"/>
                <w:kern w:val="0"/>
                <w:sz w:val="28"/>
                <w:szCs w:val="28"/>
              </w:rPr>
              <w:t>-</w:t>
            </w:r>
            <w:r>
              <w:rPr>
                <w:rFonts w:ascii="仿宋_GB2312" w:hAnsi="仿宋_GB2312" w:eastAsia="仿宋_GB2312" w:cs="仿宋"/>
                <w:kern w:val="0"/>
                <w:sz w:val="28"/>
                <w:szCs w:val="28"/>
              </w:rPr>
              <w:t>09</w:t>
            </w:r>
            <w:r>
              <w:rPr>
                <w:rFonts w:hint="eastAsia" w:ascii="仿宋_GB2312" w:hAnsi="仿宋_GB2312" w:eastAsia="仿宋_GB2312" w:cs="仿宋"/>
                <w:kern w:val="0"/>
                <w:sz w:val="28"/>
                <w:szCs w:val="28"/>
              </w:rPr>
              <w:t>:</w:t>
            </w:r>
            <w:r>
              <w:rPr>
                <w:rFonts w:ascii="仿宋_GB2312" w:hAnsi="仿宋_GB2312" w:eastAsia="仿宋_GB2312" w:cs="仿宋"/>
                <w:kern w:val="0"/>
                <w:sz w:val="28"/>
                <w:szCs w:val="28"/>
              </w:rPr>
              <w:t>40</w:t>
            </w:r>
          </w:p>
        </w:tc>
        <w:tc>
          <w:tcPr>
            <w:tcW w:w="7477" w:type="dxa"/>
            <w:gridSpan w:val="2"/>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深圳市市场监督管理局领导致辞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88" w:type="dxa"/>
            <w:vAlign w:val="center"/>
          </w:tcPr>
          <w:p>
            <w:pPr>
              <w:spacing w:line="500" w:lineRule="exact"/>
              <w:jc w:val="center"/>
              <w:rPr>
                <w:rFonts w:ascii="仿宋_GB2312" w:hAnsi="仿宋_GB2312" w:eastAsia="仿宋_GB2312" w:cs="仿宋"/>
                <w:kern w:val="0"/>
                <w:sz w:val="28"/>
                <w:szCs w:val="28"/>
              </w:rPr>
            </w:pPr>
            <w:r>
              <w:rPr>
                <w:rFonts w:ascii="仿宋_GB2312" w:hAnsi="仿宋_GB2312" w:eastAsia="仿宋_GB2312" w:cs="仿宋"/>
                <w:kern w:val="0"/>
                <w:sz w:val="28"/>
                <w:szCs w:val="28"/>
              </w:rPr>
              <w:t>0</w:t>
            </w:r>
            <w:r>
              <w:rPr>
                <w:rFonts w:hint="eastAsia" w:ascii="仿宋_GB2312" w:hAnsi="仿宋_GB2312" w:eastAsia="仿宋_GB2312" w:cs="仿宋"/>
                <w:kern w:val="0"/>
                <w:sz w:val="28"/>
                <w:szCs w:val="28"/>
              </w:rPr>
              <w:t>9:40-</w:t>
            </w:r>
            <w:r>
              <w:rPr>
                <w:rFonts w:ascii="仿宋_GB2312" w:hAnsi="仿宋_GB2312" w:eastAsia="仿宋_GB2312" w:cs="仿宋"/>
                <w:kern w:val="0"/>
                <w:sz w:val="28"/>
                <w:szCs w:val="28"/>
              </w:rPr>
              <w:t>0</w:t>
            </w:r>
            <w:r>
              <w:rPr>
                <w:rFonts w:hint="eastAsia" w:ascii="仿宋_GB2312" w:hAnsi="仿宋_GB2312" w:eastAsia="仿宋_GB2312" w:cs="仿宋"/>
                <w:kern w:val="0"/>
                <w:sz w:val="28"/>
                <w:szCs w:val="28"/>
              </w:rPr>
              <w:t>9:50</w:t>
            </w:r>
          </w:p>
        </w:tc>
        <w:tc>
          <w:tcPr>
            <w:tcW w:w="7477" w:type="dxa"/>
            <w:gridSpan w:val="2"/>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粤港澳大湾区标准创新联盟主席致辞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88" w:type="dxa"/>
            <w:vAlign w:val="center"/>
          </w:tcPr>
          <w:p>
            <w:pPr>
              <w:spacing w:line="500" w:lineRule="exact"/>
              <w:jc w:val="center"/>
              <w:rPr>
                <w:rFonts w:ascii="仿宋_GB2312" w:hAnsi="仿宋_GB2312" w:eastAsia="仿宋_GB2312" w:cs="仿宋"/>
                <w:kern w:val="0"/>
                <w:sz w:val="28"/>
                <w:szCs w:val="28"/>
              </w:rPr>
            </w:pPr>
            <w:r>
              <w:rPr>
                <w:rFonts w:ascii="仿宋_GB2312" w:hAnsi="仿宋_GB2312" w:eastAsia="仿宋_GB2312" w:cs="仿宋"/>
                <w:kern w:val="0"/>
                <w:sz w:val="28"/>
                <w:szCs w:val="28"/>
              </w:rPr>
              <w:t>0</w:t>
            </w:r>
            <w:r>
              <w:rPr>
                <w:rFonts w:hint="eastAsia" w:ascii="仿宋_GB2312" w:hAnsi="仿宋_GB2312" w:eastAsia="仿宋_GB2312" w:cs="仿宋"/>
                <w:kern w:val="0"/>
                <w:sz w:val="28"/>
                <w:szCs w:val="28"/>
              </w:rPr>
              <w:t>9:</w:t>
            </w:r>
            <w:r>
              <w:rPr>
                <w:rFonts w:ascii="仿宋_GB2312" w:hAnsi="仿宋_GB2312" w:eastAsia="仿宋_GB2312" w:cs="仿宋"/>
                <w:kern w:val="0"/>
                <w:sz w:val="28"/>
                <w:szCs w:val="28"/>
              </w:rPr>
              <w:t>50</w:t>
            </w:r>
            <w:r>
              <w:rPr>
                <w:rFonts w:hint="eastAsia" w:ascii="仿宋_GB2312" w:hAnsi="仿宋_GB2312" w:eastAsia="仿宋_GB2312" w:cs="仿宋"/>
                <w:kern w:val="0"/>
                <w:sz w:val="28"/>
                <w:szCs w:val="28"/>
              </w:rPr>
              <w:t>-</w:t>
            </w:r>
            <w:r>
              <w:rPr>
                <w:rFonts w:ascii="仿宋_GB2312" w:hAnsi="仿宋_GB2312" w:eastAsia="仿宋_GB2312" w:cs="仿宋"/>
                <w:kern w:val="0"/>
                <w:sz w:val="28"/>
                <w:szCs w:val="28"/>
              </w:rPr>
              <w:t>10</w:t>
            </w:r>
            <w:r>
              <w:rPr>
                <w:rFonts w:hint="eastAsia" w:ascii="仿宋_GB2312" w:hAnsi="仿宋_GB2312" w:eastAsia="仿宋_GB2312" w:cs="仿宋"/>
                <w:kern w:val="0"/>
                <w:sz w:val="28"/>
                <w:szCs w:val="28"/>
              </w:rPr>
              <w:t>:</w:t>
            </w:r>
            <w:r>
              <w:rPr>
                <w:rFonts w:ascii="仿宋_GB2312" w:hAnsi="仿宋_GB2312" w:eastAsia="仿宋_GB2312" w:cs="仿宋"/>
                <w:kern w:val="0"/>
                <w:sz w:val="28"/>
                <w:szCs w:val="28"/>
              </w:rPr>
              <w:t>00</w:t>
            </w:r>
          </w:p>
        </w:tc>
        <w:tc>
          <w:tcPr>
            <w:tcW w:w="7477" w:type="dxa"/>
            <w:gridSpan w:val="2"/>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粤港澳大湾区标准创新联盟秘书长介绍联盟工作情况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88" w:type="dxa"/>
            <w:vAlign w:val="center"/>
          </w:tcPr>
          <w:p>
            <w:pPr>
              <w:spacing w:line="500" w:lineRule="exact"/>
              <w:jc w:val="center"/>
              <w:rPr>
                <w:rFonts w:ascii="仿宋_GB2312" w:hAnsi="仿宋_GB2312" w:eastAsia="仿宋_GB2312" w:cs="仿宋"/>
                <w:kern w:val="0"/>
                <w:sz w:val="28"/>
                <w:szCs w:val="28"/>
              </w:rPr>
            </w:pPr>
            <w:r>
              <w:rPr>
                <w:rFonts w:ascii="仿宋_GB2312" w:hAnsi="仿宋_GB2312" w:eastAsia="仿宋_GB2312" w:cs="仿宋"/>
                <w:kern w:val="0"/>
                <w:sz w:val="28"/>
                <w:szCs w:val="28"/>
              </w:rPr>
              <w:t>10</w:t>
            </w:r>
            <w:r>
              <w:rPr>
                <w:rFonts w:hint="eastAsia" w:ascii="仿宋_GB2312" w:hAnsi="仿宋_GB2312" w:eastAsia="仿宋_GB2312" w:cs="仿宋"/>
                <w:kern w:val="0"/>
                <w:sz w:val="28"/>
                <w:szCs w:val="28"/>
              </w:rPr>
              <w:t>:</w:t>
            </w:r>
            <w:r>
              <w:rPr>
                <w:rFonts w:ascii="仿宋_GB2312" w:hAnsi="仿宋_GB2312" w:eastAsia="仿宋_GB2312" w:cs="仿宋"/>
                <w:kern w:val="0"/>
                <w:sz w:val="28"/>
                <w:szCs w:val="28"/>
              </w:rPr>
              <w:t>00</w:t>
            </w:r>
            <w:r>
              <w:rPr>
                <w:rFonts w:hint="eastAsia" w:ascii="仿宋_GB2312" w:hAnsi="仿宋_GB2312" w:eastAsia="仿宋_GB2312" w:cs="仿宋"/>
                <w:kern w:val="0"/>
                <w:sz w:val="28"/>
                <w:szCs w:val="28"/>
              </w:rPr>
              <w:t>-10:</w:t>
            </w:r>
            <w:r>
              <w:rPr>
                <w:rFonts w:ascii="仿宋_GB2312" w:hAnsi="仿宋_GB2312" w:eastAsia="仿宋_GB2312" w:cs="仿宋"/>
                <w:kern w:val="0"/>
                <w:sz w:val="28"/>
                <w:szCs w:val="28"/>
              </w:rPr>
              <w:t>1</w:t>
            </w:r>
            <w:r>
              <w:rPr>
                <w:rFonts w:hint="eastAsia" w:ascii="仿宋_GB2312" w:hAnsi="仿宋_GB2312" w:eastAsia="仿宋_GB2312" w:cs="仿宋"/>
                <w:kern w:val="0"/>
                <w:sz w:val="28"/>
                <w:szCs w:val="28"/>
              </w:rPr>
              <w:t>0</w:t>
            </w:r>
          </w:p>
        </w:tc>
        <w:tc>
          <w:tcPr>
            <w:tcW w:w="7477" w:type="dxa"/>
            <w:gridSpan w:val="2"/>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《生命和生物技术委员会工作章程》审议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88" w:type="dxa"/>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1</w:t>
            </w:r>
            <w:r>
              <w:rPr>
                <w:rFonts w:ascii="仿宋_GB2312" w:hAnsi="仿宋_GB2312" w:eastAsia="仿宋_GB2312" w:cs="仿宋"/>
                <w:kern w:val="0"/>
                <w:sz w:val="28"/>
                <w:szCs w:val="28"/>
              </w:rPr>
              <w:t>0</w:t>
            </w:r>
            <w:r>
              <w:rPr>
                <w:rFonts w:hint="eastAsia" w:ascii="仿宋_GB2312" w:hAnsi="仿宋_GB2312" w:eastAsia="仿宋_GB2312" w:cs="仿宋"/>
                <w:kern w:val="0"/>
                <w:sz w:val="28"/>
                <w:szCs w:val="28"/>
              </w:rPr>
              <w:t>:</w:t>
            </w:r>
            <w:r>
              <w:rPr>
                <w:rFonts w:ascii="仿宋_GB2312" w:hAnsi="仿宋_GB2312" w:eastAsia="仿宋_GB2312" w:cs="仿宋"/>
                <w:kern w:val="0"/>
                <w:sz w:val="28"/>
                <w:szCs w:val="28"/>
              </w:rPr>
              <w:t>10-</w:t>
            </w:r>
            <w:r>
              <w:rPr>
                <w:rFonts w:hint="eastAsia" w:ascii="仿宋_GB2312" w:hAnsi="仿宋_GB2312" w:eastAsia="仿宋_GB2312" w:cs="仿宋"/>
                <w:kern w:val="0"/>
                <w:sz w:val="28"/>
                <w:szCs w:val="28"/>
              </w:rPr>
              <w:t>11:00</w:t>
            </w:r>
          </w:p>
        </w:tc>
        <w:tc>
          <w:tcPr>
            <w:tcW w:w="7477" w:type="dxa"/>
            <w:gridSpan w:val="2"/>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与会成员单位介绍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88" w:type="dxa"/>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11:00-11:20</w:t>
            </w:r>
          </w:p>
        </w:tc>
        <w:tc>
          <w:tcPr>
            <w:tcW w:w="7477" w:type="dxa"/>
            <w:gridSpan w:val="2"/>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颁发专家聘书+合影留念+茶歇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2588" w:type="dxa"/>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11:20-12:20</w:t>
            </w:r>
          </w:p>
        </w:tc>
        <w:tc>
          <w:tcPr>
            <w:tcW w:w="7477" w:type="dxa"/>
            <w:gridSpan w:val="2"/>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生命和生物技术委员会湾区标准预研讨论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88" w:type="dxa"/>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12:20-13:30</w:t>
            </w:r>
          </w:p>
        </w:tc>
        <w:tc>
          <w:tcPr>
            <w:tcW w:w="7477" w:type="dxa"/>
            <w:gridSpan w:val="2"/>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午餐</w:t>
            </w:r>
          </w:p>
        </w:tc>
      </w:tr>
    </w:tbl>
    <w:p>
      <w:pPr>
        <w:pStyle w:val="2"/>
        <w:rPr>
          <w:rFonts w:hint="eastAsia"/>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r>
        <w:rPr>
          <w:rFonts w:hint="eastAsia" w:ascii="黑体" w:hAnsi="黑体" w:eastAsia="黑体" w:cs="黑体"/>
          <w:bCs/>
          <w:spacing w:val="10"/>
          <w:sz w:val="32"/>
          <w:szCs w:val="32"/>
        </w:rPr>
        <w:t>附件2</w:t>
      </w:r>
    </w:p>
    <w:p>
      <w:pPr>
        <w:jc w:val="center"/>
        <w:rPr>
          <w:rFonts w:hint="eastAsia" w:ascii="方正小标宋_GBK" w:hAnsi="方正小标宋_GBK" w:eastAsia="方正小标宋_GBK"/>
          <w:sz w:val="44"/>
          <w:szCs w:val="44"/>
        </w:rPr>
      </w:pPr>
    </w:p>
    <w:p>
      <w:pPr>
        <w:jc w:val="center"/>
        <w:rPr>
          <w:rFonts w:ascii="方正小标宋_GBK" w:hAnsi="方正小标宋_GBK" w:eastAsia="方正小标宋_GBK"/>
          <w:sz w:val="44"/>
          <w:szCs w:val="44"/>
        </w:rPr>
      </w:pPr>
      <w:r>
        <w:rPr>
          <w:rFonts w:hint="eastAsia" w:ascii="方正小标宋_GBK" w:hAnsi="方正小标宋_GBK" w:eastAsia="方正小标宋_GBK"/>
          <w:sz w:val="44"/>
          <w:szCs w:val="44"/>
        </w:rPr>
        <w:t>参会回执</w:t>
      </w:r>
    </w:p>
    <w:p>
      <w:pPr>
        <w:jc w:val="center"/>
        <w:rPr>
          <w:rFonts w:ascii="方正小标宋_GBK" w:hAnsi="方正小标宋_GBK" w:eastAsia="方正小标宋_GBK"/>
          <w:sz w:val="44"/>
          <w:szCs w:val="44"/>
        </w:rPr>
      </w:pPr>
    </w:p>
    <w:tbl>
      <w:tblPr>
        <w:tblStyle w:val="7"/>
        <w:tblW w:w="8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1701"/>
        <w:gridCol w:w="2126"/>
        <w:gridCol w:w="1418"/>
        <w:gridCol w:w="1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84" w:type="dxa"/>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姓名</w:t>
            </w:r>
          </w:p>
        </w:tc>
        <w:tc>
          <w:tcPr>
            <w:tcW w:w="1701" w:type="dxa"/>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单位</w:t>
            </w:r>
          </w:p>
        </w:tc>
        <w:tc>
          <w:tcPr>
            <w:tcW w:w="2126" w:type="dxa"/>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职务</w:t>
            </w:r>
          </w:p>
        </w:tc>
        <w:tc>
          <w:tcPr>
            <w:tcW w:w="1418" w:type="dxa"/>
            <w:vAlign w:val="center"/>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联系电话</w:t>
            </w:r>
          </w:p>
        </w:tc>
        <w:tc>
          <w:tcPr>
            <w:tcW w:w="1630" w:type="dxa"/>
          </w:tcPr>
          <w:p>
            <w:pPr>
              <w:spacing w:line="500" w:lineRule="exact"/>
              <w:jc w:val="center"/>
              <w:rPr>
                <w:rFonts w:ascii="仿宋_GB2312" w:hAnsi="仿宋_GB2312" w:eastAsia="仿宋_GB2312" w:cs="仿宋"/>
                <w:kern w:val="0"/>
                <w:sz w:val="28"/>
                <w:szCs w:val="28"/>
              </w:rPr>
            </w:pPr>
            <w:r>
              <w:rPr>
                <w:rFonts w:hint="eastAsia" w:ascii="仿宋_GB2312" w:hAnsi="仿宋_GB2312" w:eastAsia="仿宋_GB2312" w:cs="仿宋"/>
                <w:kern w:val="0"/>
                <w:sz w:val="28"/>
                <w:szCs w:val="28"/>
              </w:rPr>
              <w:t>联系邮箱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384" w:type="dxa"/>
          </w:tcPr>
          <w:p>
            <w:pPr>
              <w:spacing w:line="500" w:lineRule="exact"/>
              <w:jc w:val="center"/>
              <w:rPr>
                <w:rFonts w:ascii="仿宋_GB2312" w:hAnsi="仿宋_GB2312" w:eastAsia="仿宋_GB2312" w:cs="仿宋"/>
                <w:kern w:val="0"/>
                <w:sz w:val="28"/>
                <w:szCs w:val="28"/>
              </w:rPr>
            </w:pPr>
          </w:p>
        </w:tc>
        <w:tc>
          <w:tcPr>
            <w:tcW w:w="1701" w:type="dxa"/>
          </w:tcPr>
          <w:p>
            <w:pPr>
              <w:spacing w:line="500" w:lineRule="exact"/>
              <w:jc w:val="center"/>
              <w:rPr>
                <w:rFonts w:ascii="仿宋_GB2312" w:hAnsi="仿宋_GB2312" w:eastAsia="仿宋_GB2312" w:cs="仿宋"/>
                <w:kern w:val="0"/>
                <w:sz w:val="28"/>
                <w:szCs w:val="28"/>
              </w:rPr>
            </w:pPr>
          </w:p>
        </w:tc>
        <w:tc>
          <w:tcPr>
            <w:tcW w:w="2126" w:type="dxa"/>
          </w:tcPr>
          <w:p>
            <w:pPr>
              <w:spacing w:line="500" w:lineRule="exact"/>
              <w:jc w:val="center"/>
              <w:rPr>
                <w:rFonts w:ascii="仿宋_GB2312" w:hAnsi="仿宋_GB2312" w:eastAsia="仿宋_GB2312" w:cs="仿宋"/>
                <w:kern w:val="0"/>
                <w:sz w:val="28"/>
                <w:szCs w:val="28"/>
              </w:rPr>
            </w:pPr>
          </w:p>
        </w:tc>
        <w:tc>
          <w:tcPr>
            <w:tcW w:w="1418" w:type="dxa"/>
          </w:tcPr>
          <w:p>
            <w:pPr>
              <w:spacing w:line="500" w:lineRule="exact"/>
              <w:jc w:val="center"/>
              <w:rPr>
                <w:rFonts w:ascii="仿宋_GB2312" w:hAnsi="仿宋_GB2312" w:eastAsia="仿宋_GB2312" w:cs="仿宋"/>
                <w:kern w:val="0"/>
                <w:sz w:val="28"/>
                <w:szCs w:val="28"/>
              </w:rPr>
            </w:pPr>
          </w:p>
        </w:tc>
        <w:tc>
          <w:tcPr>
            <w:tcW w:w="1630" w:type="dxa"/>
          </w:tcPr>
          <w:p>
            <w:pPr>
              <w:spacing w:line="500" w:lineRule="exact"/>
              <w:jc w:val="center"/>
              <w:rPr>
                <w:rFonts w:ascii="仿宋_GB2312" w:hAnsi="仿宋_GB2312" w:eastAsia="仿宋_GB2312"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384" w:type="dxa"/>
          </w:tcPr>
          <w:p>
            <w:pPr>
              <w:widowControl/>
              <w:jc w:val="center"/>
              <w:rPr>
                <w:rFonts w:ascii="黑体" w:hAnsi="黑体" w:eastAsia="黑体" w:cs="仿宋"/>
                <w:kern w:val="0"/>
                <w:sz w:val="28"/>
                <w:szCs w:val="28"/>
              </w:rPr>
            </w:pPr>
          </w:p>
        </w:tc>
        <w:tc>
          <w:tcPr>
            <w:tcW w:w="1701" w:type="dxa"/>
          </w:tcPr>
          <w:p>
            <w:pPr>
              <w:widowControl/>
              <w:jc w:val="center"/>
              <w:rPr>
                <w:rFonts w:ascii="黑体" w:hAnsi="黑体" w:eastAsia="黑体" w:cs="仿宋"/>
                <w:kern w:val="0"/>
                <w:sz w:val="28"/>
                <w:szCs w:val="28"/>
              </w:rPr>
            </w:pPr>
          </w:p>
        </w:tc>
        <w:tc>
          <w:tcPr>
            <w:tcW w:w="2126" w:type="dxa"/>
          </w:tcPr>
          <w:p>
            <w:pPr>
              <w:widowControl/>
              <w:jc w:val="center"/>
              <w:rPr>
                <w:rFonts w:ascii="黑体" w:hAnsi="黑体" w:eastAsia="黑体" w:cs="仿宋"/>
                <w:kern w:val="0"/>
                <w:sz w:val="28"/>
                <w:szCs w:val="28"/>
              </w:rPr>
            </w:pPr>
          </w:p>
        </w:tc>
        <w:tc>
          <w:tcPr>
            <w:tcW w:w="1418" w:type="dxa"/>
          </w:tcPr>
          <w:p>
            <w:pPr>
              <w:widowControl/>
              <w:jc w:val="center"/>
              <w:rPr>
                <w:rFonts w:ascii="黑体" w:hAnsi="黑体" w:eastAsia="黑体" w:cs="仿宋"/>
                <w:kern w:val="0"/>
                <w:sz w:val="28"/>
                <w:szCs w:val="28"/>
              </w:rPr>
            </w:pPr>
          </w:p>
        </w:tc>
        <w:tc>
          <w:tcPr>
            <w:tcW w:w="1630" w:type="dxa"/>
          </w:tcPr>
          <w:p>
            <w:pPr>
              <w:widowControl/>
              <w:jc w:val="center"/>
              <w:rPr>
                <w:rFonts w:ascii="黑体" w:hAnsi="黑体" w:eastAsia="黑体"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384" w:type="dxa"/>
          </w:tcPr>
          <w:p>
            <w:pPr>
              <w:widowControl/>
              <w:jc w:val="center"/>
              <w:rPr>
                <w:rFonts w:ascii="黑体" w:hAnsi="黑体" w:eastAsia="黑体" w:cs="仿宋"/>
                <w:kern w:val="0"/>
                <w:sz w:val="28"/>
                <w:szCs w:val="28"/>
              </w:rPr>
            </w:pPr>
          </w:p>
        </w:tc>
        <w:tc>
          <w:tcPr>
            <w:tcW w:w="1701" w:type="dxa"/>
          </w:tcPr>
          <w:p>
            <w:pPr>
              <w:widowControl/>
              <w:jc w:val="center"/>
              <w:rPr>
                <w:rFonts w:ascii="黑体" w:hAnsi="黑体" w:eastAsia="黑体" w:cs="仿宋"/>
                <w:kern w:val="0"/>
                <w:sz w:val="28"/>
                <w:szCs w:val="28"/>
              </w:rPr>
            </w:pPr>
          </w:p>
        </w:tc>
        <w:tc>
          <w:tcPr>
            <w:tcW w:w="2126" w:type="dxa"/>
          </w:tcPr>
          <w:p>
            <w:pPr>
              <w:widowControl/>
              <w:jc w:val="center"/>
              <w:rPr>
                <w:rFonts w:ascii="黑体" w:hAnsi="黑体" w:eastAsia="黑体" w:cs="仿宋"/>
                <w:kern w:val="0"/>
                <w:sz w:val="28"/>
                <w:szCs w:val="28"/>
              </w:rPr>
            </w:pPr>
          </w:p>
        </w:tc>
        <w:tc>
          <w:tcPr>
            <w:tcW w:w="1418" w:type="dxa"/>
          </w:tcPr>
          <w:p>
            <w:pPr>
              <w:widowControl/>
              <w:jc w:val="center"/>
              <w:rPr>
                <w:rFonts w:ascii="黑体" w:hAnsi="黑体" w:eastAsia="黑体" w:cs="仿宋"/>
                <w:kern w:val="0"/>
                <w:sz w:val="28"/>
                <w:szCs w:val="28"/>
              </w:rPr>
            </w:pPr>
          </w:p>
        </w:tc>
        <w:tc>
          <w:tcPr>
            <w:tcW w:w="1630" w:type="dxa"/>
          </w:tcPr>
          <w:p>
            <w:pPr>
              <w:widowControl/>
              <w:jc w:val="center"/>
              <w:rPr>
                <w:rFonts w:ascii="黑体" w:hAnsi="黑体" w:eastAsia="黑体"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384" w:type="dxa"/>
          </w:tcPr>
          <w:p>
            <w:pPr>
              <w:widowControl/>
              <w:jc w:val="center"/>
              <w:rPr>
                <w:rFonts w:ascii="黑体" w:hAnsi="黑体" w:eastAsia="黑体" w:cs="仿宋"/>
                <w:kern w:val="0"/>
                <w:sz w:val="28"/>
                <w:szCs w:val="28"/>
              </w:rPr>
            </w:pPr>
          </w:p>
        </w:tc>
        <w:tc>
          <w:tcPr>
            <w:tcW w:w="1701" w:type="dxa"/>
          </w:tcPr>
          <w:p>
            <w:pPr>
              <w:widowControl/>
              <w:jc w:val="center"/>
              <w:rPr>
                <w:rFonts w:ascii="黑体" w:hAnsi="黑体" w:eastAsia="黑体" w:cs="仿宋"/>
                <w:kern w:val="0"/>
                <w:sz w:val="28"/>
                <w:szCs w:val="28"/>
              </w:rPr>
            </w:pPr>
          </w:p>
        </w:tc>
        <w:tc>
          <w:tcPr>
            <w:tcW w:w="2126" w:type="dxa"/>
          </w:tcPr>
          <w:p>
            <w:pPr>
              <w:widowControl/>
              <w:jc w:val="center"/>
              <w:rPr>
                <w:rFonts w:ascii="黑体" w:hAnsi="黑体" w:eastAsia="黑体" w:cs="仿宋"/>
                <w:kern w:val="0"/>
                <w:sz w:val="28"/>
                <w:szCs w:val="28"/>
              </w:rPr>
            </w:pPr>
          </w:p>
        </w:tc>
        <w:tc>
          <w:tcPr>
            <w:tcW w:w="1418" w:type="dxa"/>
          </w:tcPr>
          <w:p>
            <w:pPr>
              <w:widowControl/>
              <w:jc w:val="center"/>
              <w:rPr>
                <w:rFonts w:ascii="黑体" w:hAnsi="黑体" w:eastAsia="黑体" w:cs="仿宋"/>
                <w:kern w:val="0"/>
                <w:sz w:val="28"/>
                <w:szCs w:val="28"/>
              </w:rPr>
            </w:pPr>
          </w:p>
        </w:tc>
        <w:tc>
          <w:tcPr>
            <w:tcW w:w="1630" w:type="dxa"/>
          </w:tcPr>
          <w:p>
            <w:pPr>
              <w:widowControl/>
              <w:jc w:val="center"/>
              <w:rPr>
                <w:rFonts w:ascii="黑体" w:hAnsi="黑体" w:eastAsia="黑体" w:cs="仿宋"/>
                <w:kern w:val="0"/>
                <w:sz w:val="28"/>
                <w:szCs w:val="28"/>
              </w:rPr>
            </w:pPr>
          </w:p>
        </w:tc>
      </w:tr>
    </w:tbl>
    <w:p>
      <w:pPr>
        <w:pStyle w:val="2"/>
      </w:pPr>
    </w:p>
    <w:p>
      <w:pPr>
        <w:rPr>
          <w:rFonts w:hint="eastAsia"/>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pStyle w:val="2"/>
        <w:rPr>
          <w:rFonts w:hint="eastAsia" w:ascii="黑体" w:hAnsi="黑体" w:eastAsia="黑体" w:cs="黑体"/>
          <w:bCs/>
          <w:spacing w:val="10"/>
          <w:sz w:val="32"/>
          <w:szCs w:val="32"/>
        </w:rPr>
      </w:pPr>
    </w:p>
    <w:p>
      <w:pPr>
        <w:rPr>
          <w:rFonts w:hint="eastAsia" w:ascii="黑体" w:hAnsi="黑体" w:eastAsia="黑体" w:cs="黑体"/>
          <w:bCs/>
          <w:spacing w:val="10"/>
          <w:sz w:val="32"/>
          <w:szCs w:val="32"/>
        </w:rPr>
      </w:pPr>
    </w:p>
    <w:p>
      <w:pPr>
        <w:widowControl/>
        <w:spacing w:line="560" w:lineRule="exact"/>
        <w:jc w:val="left"/>
      </w:pPr>
    </w:p>
    <w:sectPr>
      <w:headerReference r:id="rId3" w:type="default"/>
      <w:footerReference r:id="rId4" w:type="default"/>
      <w:pgSz w:w="11905" w:h="16838"/>
      <w:pgMar w:top="1440" w:right="1800" w:bottom="1440" w:left="1800" w:header="0" w:footer="124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jc w:val="cente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pPr>
                      <w:pStyle w:val="3"/>
                      <w:jc w:val="center"/>
                    </w:pP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documentProtection w:enforcement="0"/>
  <w:defaultTabStop w:val="420"/>
  <w:drawingGridHorizontalSpacing w:val="210"/>
  <w:drawingGridVerticalSpacing w:val="-794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FmMTUxZDRmNzU0MTM2MTMwNjhiMzUwOGEzMjIyZDUifQ=="/>
  </w:docVars>
  <w:rsids>
    <w:rsidRoot w:val="75F36F0D"/>
    <w:rsid w:val="00020CBB"/>
    <w:rsid w:val="0002360F"/>
    <w:rsid w:val="00082313"/>
    <w:rsid w:val="00112F6B"/>
    <w:rsid w:val="00490D0D"/>
    <w:rsid w:val="00504116"/>
    <w:rsid w:val="005E0AA6"/>
    <w:rsid w:val="00624D0E"/>
    <w:rsid w:val="006D0298"/>
    <w:rsid w:val="00714812"/>
    <w:rsid w:val="008A3639"/>
    <w:rsid w:val="0099064B"/>
    <w:rsid w:val="00A3295D"/>
    <w:rsid w:val="00CA1A72"/>
    <w:rsid w:val="00EB6478"/>
    <w:rsid w:val="010F3B4F"/>
    <w:rsid w:val="01155DDD"/>
    <w:rsid w:val="02EF0371"/>
    <w:rsid w:val="03433F84"/>
    <w:rsid w:val="03C03B64"/>
    <w:rsid w:val="03DB240E"/>
    <w:rsid w:val="04E106D4"/>
    <w:rsid w:val="050F6813"/>
    <w:rsid w:val="05551D4C"/>
    <w:rsid w:val="05C80770"/>
    <w:rsid w:val="074958E1"/>
    <w:rsid w:val="0757624F"/>
    <w:rsid w:val="084E7652"/>
    <w:rsid w:val="08E04023"/>
    <w:rsid w:val="09AA4D5C"/>
    <w:rsid w:val="0AF06759"/>
    <w:rsid w:val="0B723658"/>
    <w:rsid w:val="0C9D1A29"/>
    <w:rsid w:val="0E3270CE"/>
    <w:rsid w:val="0F864164"/>
    <w:rsid w:val="10924740"/>
    <w:rsid w:val="10D73F5D"/>
    <w:rsid w:val="11755C50"/>
    <w:rsid w:val="12130FC5"/>
    <w:rsid w:val="12704BA7"/>
    <w:rsid w:val="12A6664B"/>
    <w:rsid w:val="13441D7E"/>
    <w:rsid w:val="136B2593"/>
    <w:rsid w:val="14220C40"/>
    <w:rsid w:val="15E72E94"/>
    <w:rsid w:val="15F8514B"/>
    <w:rsid w:val="17EC6540"/>
    <w:rsid w:val="194C1367"/>
    <w:rsid w:val="1C24274C"/>
    <w:rsid w:val="1D100503"/>
    <w:rsid w:val="1F1B4778"/>
    <w:rsid w:val="209338CC"/>
    <w:rsid w:val="212925B3"/>
    <w:rsid w:val="21BE719F"/>
    <w:rsid w:val="21C4408A"/>
    <w:rsid w:val="22873A35"/>
    <w:rsid w:val="24482D50"/>
    <w:rsid w:val="2460453E"/>
    <w:rsid w:val="25D02FFD"/>
    <w:rsid w:val="26051EE9"/>
    <w:rsid w:val="2610789E"/>
    <w:rsid w:val="2644717C"/>
    <w:rsid w:val="267C656F"/>
    <w:rsid w:val="26E56F7C"/>
    <w:rsid w:val="2729315E"/>
    <w:rsid w:val="28013942"/>
    <w:rsid w:val="28605909"/>
    <w:rsid w:val="29B50E88"/>
    <w:rsid w:val="2A8B7BD3"/>
    <w:rsid w:val="2B312790"/>
    <w:rsid w:val="2B91322F"/>
    <w:rsid w:val="2BFD08C4"/>
    <w:rsid w:val="2C7F275B"/>
    <w:rsid w:val="2D667758"/>
    <w:rsid w:val="2E7A444E"/>
    <w:rsid w:val="2F61560E"/>
    <w:rsid w:val="2F710A20"/>
    <w:rsid w:val="31A8555D"/>
    <w:rsid w:val="32B15F03"/>
    <w:rsid w:val="3321758E"/>
    <w:rsid w:val="335A484E"/>
    <w:rsid w:val="33D939C5"/>
    <w:rsid w:val="34095F58"/>
    <w:rsid w:val="35AB2096"/>
    <w:rsid w:val="360D18E9"/>
    <w:rsid w:val="36174C78"/>
    <w:rsid w:val="365D08DD"/>
    <w:rsid w:val="373158C6"/>
    <w:rsid w:val="37500442"/>
    <w:rsid w:val="382B0567"/>
    <w:rsid w:val="397523E2"/>
    <w:rsid w:val="3A437DEA"/>
    <w:rsid w:val="3B4B65FB"/>
    <w:rsid w:val="3C743A7B"/>
    <w:rsid w:val="3C9E39FD"/>
    <w:rsid w:val="3DC456E6"/>
    <w:rsid w:val="3DCC7358"/>
    <w:rsid w:val="3EBA2645"/>
    <w:rsid w:val="3F0B2B23"/>
    <w:rsid w:val="3F4E578D"/>
    <w:rsid w:val="3F983CF6"/>
    <w:rsid w:val="408D5CD9"/>
    <w:rsid w:val="416C5E78"/>
    <w:rsid w:val="4325739A"/>
    <w:rsid w:val="44FC39B7"/>
    <w:rsid w:val="4631143E"/>
    <w:rsid w:val="482079BC"/>
    <w:rsid w:val="488C5052"/>
    <w:rsid w:val="4A1F20C1"/>
    <w:rsid w:val="4A2C2648"/>
    <w:rsid w:val="4AE17B23"/>
    <w:rsid w:val="4B1E76D7"/>
    <w:rsid w:val="4C6F4A6E"/>
    <w:rsid w:val="4F337FD5"/>
    <w:rsid w:val="51227CED"/>
    <w:rsid w:val="512E4EF8"/>
    <w:rsid w:val="51BA678C"/>
    <w:rsid w:val="51DA2F38"/>
    <w:rsid w:val="51E952C3"/>
    <w:rsid w:val="529C65D2"/>
    <w:rsid w:val="52E37F64"/>
    <w:rsid w:val="548F2152"/>
    <w:rsid w:val="55733821"/>
    <w:rsid w:val="55B1434A"/>
    <w:rsid w:val="55F85AD5"/>
    <w:rsid w:val="56243C73"/>
    <w:rsid w:val="573C5E95"/>
    <w:rsid w:val="57992533"/>
    <w:rsid w:val="582157B7"/>
    <w:rsid w:val="593905EA"/>
    <w:rsid w:val="5A865DA5"/>
    <w:rsid w:val="5C5B4B0B"/>
    <w:rsid w:val="5DFC2E32"/>
    <w:rsid w:val="5DFD57DF"/>
    <w:rsid w:val="5E1C257C"/>
    <w:rsid w:val="5E2A6A47"/>
    <w:rsid w:val="5E88158B"/>
    <w:rsid w:val="5ECC5D50"/>
    <w:rsid w:val="5F3C4C84"/>
    <w:rsid w:val="5F7268F8"/>
    <w:rsid w:val="5FCC36CC"/>
    <w:rsid w:val="600357A2"/>
    <w:rsid w:val="61111216"/>
    <w:rsid w:val="63181564"/>
    <w:rsid w:val="63253C81"/>
    <w:rsid w:val="63730E90"/>
    <w:rsid w:val="63EC772F"/>
    <w:rsid w:val="66486604"/>
    <w:rsid w:val="666D39E5"/>
    <w:rsid w:val="66AB0DB4"/>
    <w:rsid w:val="671F1D12"/>
    <w:rsid w:val="679B00EC"/>
    <w:rsid w:val="68792AA5"/>
    <w:rsid w:val="68EC771B"/>
    <w:rsid w:val="69C54857"/>
    <w:rsid w:val="6A022F6E"/>
    <w:rsid w:val="6A5E6230"/>
    <w:rsid w:val="6AE616F8"/>
    <w:rsid w:val="6B0625EA"/>
    <w:rsid w:val="6BC52432"/>
    <w:rsid w:val="6BCF3CC7"/>
    <w:rsid w:val="6D547D9C"/>
    <w:rsid w:val="6D66660A"/>
    <w:rsid w:val="6ED938B4"/>
    <w:rsid w:val="70A408DB"/>
    <w:rsid w:val="71784278"/>
    <w:rsid w:val="71E35433"/>
    <w:rsid w:val="721D6B97"/>
    <w:rsid w:val="72DB610A"/>
    <w:rsid w:val="74DD7D93"/>
    <w:rsid w:val="74F142CB"/>
    <w:rsid w:val="75364943"/>
    <w:rsid w:val="75B3511C"/>
    <w:rsid w:val="75F36F0D"/>
    <w:rsid w:val="76BB072D"/>
    <w:rsid w:val="79C45B4A"/>
    <w:rsid w:val="7AA37E55"/>
    <w:rsid w:val="7B8D799D"/>
    <w:rsid w:val="7C3C5E6C"/>
    <w:rsid w:val="7DC205F3"/>
    <w:rsid w:val="7E270DC0"/>
    <w:rsid w:val="7E831DAC"/>
    <w:rsid w:val="7EDD3A4A"/>
    <w:rsid w:val="7F894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ind w:left="220"/>
      <w:outlineLvl w:val="0"/>
    </w:pPr>
    <w:rPr>
      <w:b/>
      <w:bCs/>
      <w:sz w:val="28"/>
      <w:szCs w:val="28"/>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qFormat/>
    <w:uiPriority w:val="0"/>
    <w:rPr>
      <w:color w:val="0000FF"/>
      <w:u w:val="single"/>
    </w:rPr>
  </w:style>
  <w:style w:type="character" w:styleId="10">
    <w:name w:val="annotation reference"/>
    <w:qFormat/>
    <w:uiPriority w:val="0"/>
    <w:rPr>
      <w:sz w:val="21"/>
      <w:szCs w:val="21"/>
    </w:rPr>
  </w:style>
  <w:style w:type="paragraph" w:styleId="11">
    <w:name w:val="List Paragraph"/>
    <w:basedOn w:val="1"/>
    <w:qFormat/>
    <w:uiPriority w:val="34"/>
    <w:pPr>
      <w:ind w:firstLine="420" w:firstLineChars="200"/>
    </w:pPr>
  </w:style>
  <w:style w:type="paragraph" w:customStyle="1" w:styleId="12">
    <w:name w:val="正文首行缩进 21"/>
    <w:basedOn w:val="13"/>
    <w:qFormat/>
    <w:uiPriority w:val="0"/>
    <w:pPr>
      <w:spacing w:line="360" w:lineRule="auto"/>
    </w:pPr>
    <w:rPr>
      <w:rFonts w:eastAsia="宋体"/>
      <w:sz w:val="24"/>
    </w:rPr>
  </w:style>
  <w:style w:type="paragraph" w:customStyle="1" w:styleId="13">
    <w:name w:val="正文文本缩进1"/>
    <w:basedOn w:val="1"/>
    <w:qFormat/>
    <w:uiPriority w:val="0"/>
    <w:pPr>
      <w:spacing w:line="150" w:lineRule="atLeast"/>
      <w:ind w:firstLine="420" w:firstLineChars="200"/>
      <w:textAlignment w:val="baseline"/>
    </w:pPr>
    <w:rPr>
      <w:rFonts w:ascii="Times New Roman" w:hAnsi="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1233</Words>
  <Characters>1373</Characters>
  <Lines>19</Lines>
  <Paragraphs>5</Paragraphs>
  <TotalTime>3</TotalTime>
  <ScaleCrop>false</ScaleCrop>
  <LinksUpToDate>false</LinksUpToDate>
  <CharactersWithSpaces>1438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2023-04-12T08:35:00Z</dcterms:created>
  <dc:creator>cheryl</dc:creator>
  <cp:lastModifiedBy>lenovo</cp:lastModifiedBy>
  <cp:lastPrinted>2023-03-27T03:31:00Z</cp:lastPrinted>
  <dcterms:modified xsi:type="dcterms:W3CDTF">2023-04-14T05:04:31Z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B52D7200FAAA4867958C1F5B37B98401</vt:lpwstr>
  </property>
</Properties>
</file>