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B0A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2885921">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3CFEEDA">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1.10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11.100</w:t>
            </w:r>
            <w:r>
              <w:rPr>
                <w:rFonts w:ascii="黑体" w:hAnsi="黑体" w:eastAsia="黑体"/>
                <w:sz w:val="21"/>
                <w:szCs w:val="21"/>
              </w:rPr>
              <w:fldChar w:fldCharType="end"/>
            </w:r>
            <w:bookmarkEnd w:id="0"/>
          </w:p>
        </w:tc>
      </w:tr>
      <w:tr w14:paraId="27C81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D310943">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854411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D3D00CB">
                  <w:pPr>
                    <w:pStyle w:val="52"/>
                    <w:framePr w:wrap="notBeside" w:vAnchor="page" w:hAnchor="page" w:x="1372" w:y="568"/>
                    <w:ind w:left="420" w:right="624"/>
                    <w:rPr>
                      <w:rFonts w:ascii="宋体" w:hAnsi="宋体"/>
                      <w:sz w:val="28"/>
                      <w:szCs w:val="28"/>
                    </w:rPr>
                  </w:pPr>
                </w:p>
              </w:tc>
            </w:tr>
          </w:tbl>
          <w:p w14:paraId="7351E4EC">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C 44"/>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44</w:t>
            </w:r>
            <w:r>
              <w:rPr>
                <w:rFonts w:ascii="黑体" w:hAnsi="黑体" w:eastAsia="黑体"/>
                <w:sz w:val="21"/>
                <w:szCs w:val="21"/>
              </w:rPr>
              <w:fldChar w:fldCharType="end"/>
            </w:r>
            <w:bookmarkEnd w:id="1"/>
          </w:p>
        </w:tc>
      </w:tr>
    </w:tbl>
    <w:p w14:paraId="42EEFB70">
      <w:pPr>
        <w:pStyle w:val="53"/>
        <w:framePr w:w="9639" w:h="1125" w:hRule="exact" w:hSpace="181" w:vSpace="181" w:wrap="around" w:hAnchor="page" w:x="1318" w:y="1824"/>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6530DDE3">
      <w:pPr>
        <w:pStyle w:val="198"/>
        <w:framePr/>
      </w:pPr>
      <w:r>
        <w:t>T/</w:t>
      </w:r>
      <w:r>
        <w:fldChar w:fldCharType="begin">
          <w:ffData>
            <w:name w:val="文字1"/>
            <w:enabled/>
            <w:calcOnExit w:val="0"/>
            <w:textInput>
              <w:default w:val="SZAS"/>
            </w:textInput>
          </w:ffData>
        </w:fldChar>
      </w:r>
      <w:bookmarkStart w:id="3" w:name="文字1"/>
      <w:r>
        <w:instrText xml:space="preserve"> FORMTEXT </w:instrText>
      </w:r>
      <w:r>
        <w:fldChar w:fldCharType="separate"/>
      </w:r>
      <w:r>
        <w:t>SZAS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1EBD4461">
      <w:pPr>
        <w:pStyle w:val="199"/>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5DF4FAD4">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A477CB2">
      <w:pPr>
        <w:pStyle w:val="53"/>
        <w:framePr w:w="9639" w:h="6976" w:hRule="exact" w:hSpace="0" w:vSpace="0" w:wrap="around" w:hAnchor="page" w:y="6408"/>
        <w:jc w:val="center"/>
        <w:rPr>
          <w:rFonts w:ascii="黑体" w:hAnsi="黑体" w:eastAsia="黑体"/>
          <w:b w:val="0"/>
          <w:bCs w:val="0"/>
          <w:w w:val="100"/>
        </w:rPr>
      </w:pPr>
    </w:p>
    <w:p w14:paraId="43877ECC">
      <w:pPr>
        <w:pStyle w:val="200"/>
        <w:framePr w:h="6974" w:hRule="exact" w:wrap="around" w:x="1419" w:anchorLock="1"/>
      </w:pPr>
      <w:r>
        <w:fldChar w:fldCharType="begin">
          <w:ffData>
            <w:name w:val="CSTD_NAME"/>
            <w:enabled/>
            <w:calcOnExit w:val="0"/>
            <w:textInput>
              <w:default w:val="单基因遗传病临床全外显子组测序性能确认及室内质控规程"/>
            </w:textInput>
          </w:ffData>
        </w:fldChar>
      </w:r>
      <w:bookmarkStart w:id="7" w:name="CSTD_NAME"/>
      <w:r>
        <w:instrText xml:space="preserve"> FORMTEXT </w:instrText>
      </w:r>
      <w:r>
        <w:fldChar w:fldCharType="separate"/>
      </w:r>
      <w:r>
        <w:t>单基因遗传病临床全外显子组测序性能</w:t>
      </w:r>
      <w:r>
        <w:rPr>
          <w:rFonts w:hint="eastAsia"/>
          <w:lang w:val="en-US" w:eastAsia="zh-CN"/>
        </w:rPr>
        <w:t>验证</w:t>
      </w:r>
      <w:r>
        <w:t>及室内质控规程</w:t>
      </w:r>
      <w:r>
        <w:fldChar w:fldCharType="end"/>
      </w:r>
      <w:bookmarkEnd w:id="7"/>
    </w:p>
    <w:p w14:paraId="4018328C">
      <w:pPr>
        <w:framePr w:w="9639" w:h="6974" w:hRule="exact" w:wrap="around" w:vAnchor="page" w:hAnchor="page" w:x="1419" w:y="6408" w:anchorLock="1"/>
        <w:ind w:left="-1418"/>
      </w:pPr>
    </w:p>
    <w:p w14:paraId="7B5807E9">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Validation and internal quality control of clinicial whole exome sequencing"/>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Validation and internal quality control of clinicial whole exome sequencing</w:t>
      </w:r>
      <w:r>
        <w:rPr>
          <w:rFonts w:eastAsia="黑体"/>
          <w:szCs w:val="28"/>
        </w:rPr>
        <w:fldChar w:fldCharType="end"/>
      </w:r>
      <w:bookmarkEnd w:id="8"/>
    </w:p>
    <w:p w14:paraId="7B347ACA">
      <w:pPr>
        <w:framePr w:w="9639" w:h="6974" w:hRule="exact" w:wrap="around" w:vAnchor="page" w:hAnchor="page" w:x="1419" w:y="6408" w:anchorLock="1"/>
        <w:spacing w:line="760" w:lineRule="exact"/>
        <w:ind w:left="-1418"/>
      </w:pPr>
    </w:p>
    <w:p w14:paraId="27578F0C">
      <w:pPr>
        <w:pStyle w:val="128"/>
        <w:framePr w:w="9639" w:h="6974" w:hRule="exact" w:wrap="around" w:vAnchor="page" w:hAnchor="page" w:x="1419" w:y="6408" w:anchorLock="1"/>
        <w:textAlignment w:val="bottom"/>
        <w:rPr>
          <w:rFonts w:eastAsia="黑体"/>
          <w:szCs w:val="28"/>
        </w:rPr>
      </w:pPr>
    </w:p>
    <w:p w14:paraId="651775FB">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工作组讨论稿）"/>
              <w:listEntry w:val=" "/>
              <w:listEntry w:val="草案版次选择"/>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501607FB">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783D144D">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5A40D24B">
      <w:pPr>
        <w:pStyle w:val="196"/>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03D07F0F">
      <w:pPr>
        <w:pStyle w:val="197"/>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70A726EE">
      <w:pPr>
        <w:pStyle w:val="154"/>
        <w:framePr w:h="584" w:hRule="exact" w:hSpace="181" w:vSpace="181" w:wrap="around" w:y="14800"/>
        <w:rPr>
          <w:rFonts w:hAnsi="黑体"/>
        </w:rPr>
      </w:pPr>
      <w:r>
        <w:rPr>
          <w:rFonts w:hAnsi="黑体"/>
          <w:w w:val="100"/>
          <w:sz w:val="28"/>
        </w:rPr>
        <w:fldChar w:fldCharType="begin">
          <w:ffData>
            <w:name w:val="fm"/>
            <w:enabled/>
            <w:calcOnExit w:val="0"/>
            <w:textInput>
              <w:default w:val="深圳市标准化协会"/>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深圳市标准化协会</w:t>
      </w:r>
      <w:r>
        <w:rPr>
          <w:rFonts w:hAnsi="黑体"/>
          <w:w w:val="100"/>
          <w:sz w:val="28"/>
        </w:rPr>
        <w:fldChar w:fldCharType="end"/>
      </w:r>
      <w:bookmarkEnd w:id="18"/>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16DBFB9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5A196C6">
      <w:pPr>
        <w:pStyle w:val="94"/>
        <w:spacing w:after="360"/>
      </w:pPr>
      <w:bookmarkStart w:id="19" w:name="BookMark1"/>
      <w:bookmarkStart w:id="20" w:name="_Toc175839079"/>
      <w:r>
        <w:rPr>
          <w:rFonts w:hint="eastAsia"/>
          <w:spacing w:val="320"/>
        </w:rPr>
        <w:t>目</w:t>
      </w:r>
      <w:r>
        <w:rPr>
          <w:rFonts w:hint="eastAsia"/>
        </w:rPr>
        <w:t>次</w:t>
      </w:r>
    </w:p>
    <w:p w14:paraId="53AC5B01">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"_Toc175922391" </w:instrText>
      </w:r>
      <w:r>
        <w:fldChar w:fldCharType="separate"/>
      </w:r>
      <w:r>
        <w:rPr>
          <w:rStyle w:val="34"/>
        </w:rPr>
        <w:t>前言</w:t>
      </w:r>
      <w:r>
        <w:tab/>
      </w:r>
      <w:r>
        <w:fldChar w:fldCharType="begin"/>
      </w:r>
      <w:r>
        <w:instrText xml:space="preserve"> PAGEREF _Toc175922391 \h </w:instrText>
      </w:r>
      <w:r>
        <w:fldChar w:fldCharType="separate"/>
      </w:r>
      <w:r>
        <w:t>II</w:t>
      </w:r>
      <w:r>
        <w:fldChar w:fldCharType="end"/>
      </w:r>
      <w:r>
        <w:fldChar w:fldCharType="end"/>
      </w:r>
    </w:p>
    <w:p w14:paraId="162C25FC">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"_Toc175922392" </w:instrText>
      </w:r>
      <w:r>
        <w:fldChar w:fldCharType="separate"/>
      </w:r>
      <w:r>
        <w:rPr>
          <w:rStyle w:val="34"/>
        </w:rPr>
        <w:t>1  范围</w:t>
      </w:r>
      <w:r>
        <w:tab/>
      </w:r>
      <w:r>
        <w:fldChar w:fldCharType="begin"/>
      </w:r>
      <w:r>
        <w:instrText xml:space="preserve"> PAGEREF _Toc175922392 \h </w:instrText>
      </w:r>
      <w:r>
        <w:fldChar w:fldCharType="separate"/>
      </w:r>
      <w:r>
        <w:t>1</w:t>
      </w:r>
      <w:r>
        <w:fldChar w:fldCharType="end"/>
      </w:r>
      <w:r>
        <w:fldChar w:fldCharType="end"/>
      </w:r>
    </w:p>
    <w:p w14:paraId="36B9E840">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"_Toc175922393" </w:instrText>
      </w:r>
      <w:r>
        <w:fldChar w:fldCharType="separate"/>
      </w:r>
      <w:r>
        <w:rPr>
          <w:rStyle w:val="34"/>
        </w:rPr>
        <w:t>2  规范性引用文件</w:t>
      </w:r>
      <w:r>
        <w:tab/>
      </w:r>
      <w:r>
        <w:fldChar w:fldCharType="begin"/>
      </w:r>
      <w:r>
        <w:instrText xml:space="preserve"> PAGEREF _Toc175922393 \h </w:instrText>
      </w:r>
      <w:r>
        <w:fldChar w:fldCharType="separate"/>
      </w:r>
      <w:r>
        <w:t>1</w:t>
      </w:r>
      <w:r>
        <w:fldChar w:fldCharType="end"/>
      </w:r>
      <w:r>
        <w:fldChar w:fldCharType="end"/>
      </w:r>
    </w:p>
    <w:p w14:paraId="150F9F77">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"_Toc175922394" </w:instrText>
      </w:r>
      <w:r>
        <w:fldChar w:fldCharType="separate"/>
      </w:r>
      <w:r>
        <w:rPr>
          <w:rStyle w:val="34"/>
        </w:rPr>
        <w:t>3  术语和定义</w:t>
      </w:r>
      <w:r>
        <w:tab/>
      </w:r>
      <w:r>
        <w:fldChar w:fldCharType="begin"/>
      </w:r>
      <w:r>
        <w:instrText xml:space="preserve"> PAGEREF _Toc175922394 \h </w:instrText>
      </w:r>
      <w:r>
        <w:fldChar w:fldCharType="separate"/>
      </w:r>
      <w:r>
        <w:t>1</w:t>
      </w:r>
      <w:r>
        <w:fldChar w:fldCharType="end"/>
      </w:r>
      <w:r>
        <w:fldChar w:fldCharType="end"/>
      </w:r>
    </w:p>
    <w:p w14:paraId="13656543">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"_Toc175922395" </w:instrText>
      </w:r>
      <w:r>
        <w:fldChar w:fldCharType="separate"/>
      </w:r>
      <w:r>
        <w:rPr>
          <w:rStyle w:val="34"/>
        </w:rPr>
        <w:t>4  检测性能要求</w:t>
      </w:r>
      <w:r>
        <w:tab/>
      </w:r>
      <w:r>
        <w:fldChar w:fldCharType="begin"/>
      </w:r>
      <w:r>
        <w:instrText xml:space="preserve"> PAGEREF _Toc175922395 \h </w:instrText>
      </w:r>
      <w:r>
        <w:fldChar w:fldCharType="separate"/>
      </w:r>
      <w:r>
        <w:t>3</w:t>
      </w:r>
      <w:r>
        <w:fldChar w:fldCharType="end"/>
      </w:r>
      <w:r>
        <w:fldChar w:fldCharType="end"/>
      </w:r>
    </w:p>
    <w:p w14:paraId="33EA6454">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"_Toc175922396" </w:instrText>
      </w:r>
      <w:r>
        <w:fldChar w:fldCharType="separate"/>
      </w:r>
      <w:r>
        <w:rPr>
          <w:rStyle w:val="34"/>
        </w:rPr>
        <w:t>5  性能确认要求</w:t>
      </w:r>
      <w:r>
        <w:tab/>
      </w:r>
      <w:r>
        <w:fldChar w:fldCharType="begin"/>
      </w:r>
      <w:r>
        <w:instrText xml:space="preserve"> PAGEREF _Toc175922396 \h </w:instrText>
      </w:r>
      <w:r>
        <w:fldChar w:fldCharType="separate"/>
      </w:r>
      <w:r>
        <w:t>4</w:t>
      </w:r>
      <w:r>
        <w:fldChar w:fldCharType="end"/>
      </w:r>
      <w:r>
        <w:fldChar w:fldCharType="end"/>
      </w:r>
    </w:p>
    <w:p w14:paraId="4217ABB4">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"_Toc175922397" </w:instrText>
      </w:r>
      <w:r>
        <w:fldChar w:fldCharType="separate"/>
      </w:r>
      <w:r>
        <w:rPr>
          <w:rStyle w:val="34"/>
        </w:rPr>
        <w:t>6  室内质控要求</w:t>
      </w:r>
      <w:r>
        <w:tab/>
      </w:r>
      <w:r>
        <w:fldChar w:fldCharType="begin"/>
      </w:r>
      <w:r>
        <w:instrText xml:space="preserve"> PAGEREF _Toc175922397 \h </w:instrText>
      </w:r>
      <w:r>
        <w:fldChar w:fldCharType="separate"/>
      </w:r>
      <w:r>
        <w:t>6</w:t>
      </w:r>
      <w:r>
        <w:fldChar w:fldCharType="end"/>
      </w:r>
      <w:r>
        <w:fldChar w:fldCharType="end"/>
      </w:r>
    </w:p>
    <w:p w14:paraId="2122F348">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"_Toc175922398" </w:instrText>
      </w:r>
      <w:r>
        <w:fldChar w:fldCharType="separate"/>
      </w:r>
      <w:r>
        <w:rPr>
          <w:rStyle w:val="34"/>
        </w:rPr>
        <w:t>附录A（资料性）  临床全外显子组测序实验相关建议</w:t>
      </w:r>
      <w:r>
        <w:tab/>
      </w:r>
      <w:r>
        <w:fldChar w:fldCharType="begin"/>
      </w:r>
      <w:r>
        <w:instrText xml:space="preserve"> PAGEREF _Toc175922398 \h </w:instrText>
      </w:r>
      <w:r>
        <w:fldChar w:fldCharType="separate"/>
      </w:r>
      <w:r>
        <w:t>7</w:t>
      </w:r>
      <w:r>
        <w:fldChar w:fldCharType="end"/>
      </w:r>
      <w:r>
        <w:fldChar w:fldCharType="end"/>
      </w:r>
    </w:p>
    <w:p w14:paraId="6FED340B">
      <w:pPr>
        <w:pStyle w:val="94"/>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639CED1F">
      <w:pPr>
        <w:pStyle w:val="92"/>
        <w:spacing w:before="900" w:after="360"/>
      </w:pPr>
      <w:bookmarkStart w:id="21" w:name="_Toc175922391"/>
      <w:bookmarkStart w:id="22" w:name="BookMark2"/>
      <w:r>
        <w:rPr>
          <w:spacing w:val="320"/>
        </w:rPr>
        <w:t>前</w:t>
      </w:r>
      <w:r>
        <w:t>言</w:t>
      </w:r>
      <w:bookmarkEnd w:id="20"/>
      <w:bookmarkEnd w:id="21"/>
    </w:p>
    <w:p w14:paraId="1C5A4E3C">
      <w:pPr>
        <w:pStyle w:val="59"/>
        <w:ind w:firstLine="420"/>
      </w:pPr>
      <w:r>
        <w:rPr>
          <w:rFonts w:hint="eastAsia"/>
        </w:rPr>
        <w:t>本文件按照GB/T 1.1—2020《标准化工作导则  第1部分：标准化文件的结构和起草规则》的规定起草。</w:t>
      </w:r>
    </w:p>
    <w:p w14:paraId="12CE4A14">
      <w:pPr>
        <w:pStyle w:val="59"/>
        <w:ind w:firstLine="420"/>
      </w:pPr>
      <w:r>
        <w:rPr>
          <w:rFonts w:hint="eastAsia"/>
        </w:rPr>
        <w:t>请注意本文件的某些内容可能涉及专利。本文件的发布机构不承担识别专利的责任。</w:t>
      </w:r>
    </w:p>
    <w:p w14:paraId="0EFCAF6B">
      <w:pPr>
        <w:pStyle w:val="59"/>
        <w:ind w:firstLine="420"/>
      </w:pPr>
      <w:r>
        <w:rPr>
          <w:rFonts w:hint="eastAsia"/>
        </w:rPr>
        <w:t>本文件由北京协和医院提出。</w:t>
      </w:r>
    </w:p>
    <w:p w14:paraId="4ED7EAC5">
      <w:pPr>
        <w:pStyle w:val="59"/>
        <w:ind w:firstLine="420"/>
      </w:pPr>
      <w:r>
        <w:rPr>
          <w:rFonts w:hint="eastAsia"/>
        </w:rPr>
        <w:t>本文件由深圳市标准化协会归口。</w:t>
      </w:r>
    </w:p>
    <w:p w14:paraId="21F414FF">
      <w:pPr>
        <w:pStyle w:val="59"/>
        <w:ind w:firstLine="420"/>
      </w:pPr>
      <w:r>
        <w:rPr>
          <w:rFonts w:hint="eastAsia"/>
        </w:rPr>
        <w:t>本文件起草单位：北京协和医院、浙江省人民医院、大连市妇女儿童医疗中心（集团）、吉林大学第一医院、中国医科大学附属盛京医院、重庆医科大学附属儿童医院、云南省第一人民医院、深圳华大基因股份有限公司、深圳华大医学检验实验室、安诺优达基因科技（北京）有限公司、北京贝瑞和康医学检验实验室有限公司。</w:t>
      </w:r>
    </w:p>
    <w:p w14:paraId="6D833643">
      <w:pPr>
        <w:pStyle w:val="59"/>
        <w:ind w:firstLine="420"/>
      </w:pPr>
      <w:r>
        <w:rPr>
          <w:rFonts w:hint="eastAsia"/>
        </w:rPr>
        <w:t>本文件主要起草人：张抒扬、姜丹、唐少华、唐美芳、邱玲、徐秀华、刘睿智、刘雅萍、何蓉、何晓燕、吕涛、郭丹、吴平、李云、张嘉文、刘鹏、吴祺航、唐玉婧、肖红豆、邱娇、蒋婷、郑乔松、沈鑫曌。</w:t>
      </w:r>
    </w:p>
    <w:p w14:paraId="43329A61">
      <w:pPr>
        <w:pStyle w:val="59"/>
        <w:ind w:firstLine="420"/>
      </w:pPr>
    </w:p>
    <w:p w14:paraId="645B0143">
      <w:pPr>
        <w:pStyle w:val="59"/>
        <w:ind w:firstLine="420"/>
        <w:sectPr>
          <w:pgSz w:w="11906" w:h="16838"/>
          <w:pgMar w:top="1928" w:right="1134" w:bottom="1134" w:left="1134" w:header="1418" w:footer="1134" w:gutter="284"/>
          <w:pgNumType w:fmt="upperRoman"/>
          <w:cols w:space="425" w:num="1"/>
          <w:formProt w:val="0"/>
          <w:docGrid w:linePitch="312" w:charSpace="0"/>
        </w:sectPr>
      </w:pPr>
    </w:p>
    <w:bookmarkEnd w:id="22"/>
    <w:p w14:paraId="6977A236">
      <w:pPr>
        <w:spacing w:line="20" w:lineRule="exact"/>
        <w:jc w:val="center"/>
        <w:rPr>
          <w:rFonts w:ascii="黑体" w:hAnsi="黑体" w:eastAsia="黑体"/>
          <w:sz w:val="32"/>
          <w:szCs w:val="32"/>
        </w:rPr>
      </w:pPr>
      <w:bookmarkStart w:id="23" w:name="BookMark4"/>
    </w:p>
    <w:p w14:paraId="2D96CF21">
      <w:pPr>
        <w:spacing w:line="20" w:lineRule="exact"/>
        <w:jc w:val="center"/>
        <w:rPr>
          <w:rFonts w:ascii="黑体" w:hAnsi="黑体" w:eastAsia="黑体"/>
          <w:sz w:val="32"/>
          <w:szCs w:val="32"/>
        </w:rPr>
      </w:pPr>
    </w:p>
    <w:sdt>
      <w:sdtPr>
        <w:tag w:val="NEW_STAND_NAME"/>
        <w:id w:val="595910757"/>
        <w:lock w:val="sdtLocked"/>
        <w:placeholder>
          <w:docPart w:val="B2290C848291443BB6B3A266D7D61816"/>
        </w:placeholder>
      </w:sdtPr>
      <w:sdtContent>
        <w:p w14:paraId="0D94F2D8">
          <w:pPr>
            <w:pStyle w:val="180"/>
          </w:pPr>
          <w:bookmarkStart w:id="24" w:name="NEW_STAND_NAME"/>
          <w:r>
            <w:rPr>
              <w:rFonts w:hint="eastAsia"/>
            </w:rPr>
            <w:t>单基因遗传病临床全外显子组测序性能</w:t>
          </w:r>
          <w:r>
            <w:rPr>
              <w:rFonts w:hint="eastAsia"/>
              <w:lang w:val="en-US" w:eastAsia="zh-CN"/>
            </w:rPr>
            <w:t>验证</w:t>
          </w:r>
          <w:r>
            <w:rPr>
              <w:rFonts w:hint="eastAsia"/>
            </w:rPr>
            <w:t>及室内质控规程</w:t>
          </w:r>
        </w:p>
      </w:sdtContent>
    </w:sdt>
    <w:bookmarkEnd w:id="24"/>
    <w:p w14:paraId="2634F162">
      <w:pPr>
        <w:pStyle w:val="107"/>
        <w:spacing w:before="240" w:after="240"/>
      </w:pPr>
      <w:bookmarkStart w:id="25" w:name="_Toc17233325"/>
      <w:bookmarkStart w:id="26" w:name="_Toc24884218"/>
      <w:bookmarkStart w:id="27" w:name="_Toc26648465"/>
      <w:bookmarkStart w:id="28" w:name="_Toc17233333"/>
      <w:bookmarkStart w:id="29" w:name="_Toc24884211"/>
      <w:bookmarkStart w:id="30" w:name="_Toc26718930"/>
      <w:bookmarkStart w:id="31" w:name="_Toc26986530"/>
      <w:bookmarkStart w:id="32" w:name="_Toc26986771"/>
      <w:bookmarkStart w:id="33" w:name="_Toc97192964"/>
      <w:bookmarkStart w:id="34" w:name="_Toc175839080"/>
      <w:bookmarkStart w:id="35" w:name="_Toc175922392"/>
      <w:r>
        <w:rPr>
          <w:rFonts w:hint="eastAsia"/>
        </w:rPr>
        <w:t>范围</w:t>
      </w:r>
      <w:bookmarkEnd w:id="25"/>
      <w:bookmarkEnd w:id="26"/>
      <w:bookmarkEnd w:id="27"/>
      <w:bookmarkEnd w:id="28"/>
      <w:bookmarkEnd w:id="29"/>
      <w:bookmarkEnd w:id="30"/>
      <w:bookmarkEnd w:id="31"/>
      <w:bookmarkEnd w:id="32"/>
      <w:bookmarkEnd w:id="33"/>
      <w:bookmarkEnd w:id="34"/>
      <w:bookmarkEnd w:id="35"/>
    </w:p>
    <w:p w14:paraId="5FE08B9F">
      <w:pPr>
        <w:pStyle w:val="59"/>
        <w:ind w:firstLine="420"/>
      </w:pPr>
      <w:bookmarkStart w:id="36" w:name="_Toc17233334"/>
      <w:bookmarkStart w:id="37" w:name="_Toc24884212"/>
      <w:bookmarkStart w:id="38" w:name="_Toc24884219"/>
      <w:bookmarkStart w:id="39" w:name="_Toc26648466"/>
      <w:bookmarkStart w:id="40" w:name="_Toc17233326"/>
      <w:r>
        <w:rPr>
          <w:rFonts w:hint="eastAsia"/>
        </w:rPr>
        <w:t>本文件规范了临床全外显子组测序性能</w:t>
      </w:r>
      <w:r>
        <w:rPr>
          <w:rFonts w:hint="eastAsia"/>
          <w:lang w:val="en-US" w:eastAsia="zh-CN"/>
        </w:rPr>
        <w:t>验证</w:t>
      </w:r>
      <w:bookmarkStart w:id="61" w:name="_GoBack"/>
      <w:bookmarkEnd w:id="61"/>
      <w:r>
        <w:rPr>
          <w:rFonts w:hint="eastAsia"/>
        </w:rPr>
        <w:t>及室内质量控制（室内质控）的过程，涵盖检测性能和室内质控的要求、性能确认的过程、方法和评估要求等。</w:t>
      </w:r>
    </w:p>
    <w:p w14:paraId="44594447">
      <w:pPr>
        <w:pStyle w:val="59"/>
        <w:ind w:firstLine="420"/>
      </w:pPr>
      <w:r>
        <w:rPr>
          <w:rFonts w:hint="eastAsia"/>
        </w:rPr>
        <w:t>本文件旨在为检测服务提供商及提供相关检测的各类检测机构，在开展全外显子组测序对人类基因组进行单基因遗传病变异检测时的质量控制程序提供规范性建议，包含但不局限于运行前性能确认及运行中室内质控的流程及要求，覆盖范围包括但不限于实验操作、数据分析、结果判读以及报告出具过程。</w:t>
      </w:r>
    </w:p>
    <w:p w14:paraId="581CF6D2">
      <w:pPr>
        <w:pStyle w:val="59"/>
        <w:ind w:firstLine="420"/>
      </w:pPr>
      <w:r>
        <w:rPr>
          <w:rFonts w:hint="eastAsia"/>
        </w:rPr>
        <w:t>适用于以大规模并行测序技术为技术路线的单基因遗传性疾病全外显子组测序，适用于该类型检测服务提供商及提供相关检测的各类检测机构。</w:t>
      </w:r>
    </w:p>
    <w:p w14:paraId="6A35B54C">
      <w:pPr>
        <w:pStyle w:val="107"/>
        <w:spacing w:before="240" w:after="240"/>
      </w:pPr>
      <w:bookmarkStart w:id="41" w:name="_Toc26718931"/>
      <w:bookmarkStart w:id="42" w:name="_Toc26986531"/>
      <w:bookmarkStart w:id="43" w:name="_Toc26986772"/>
      <w:bookmarkStart w:id="44" w:name="_Toc97192965"/>
      <w:bookmarkStart w:id="45" w:name="_Toc175839081"/>
      <w:bookmarkStart w:id="46" w:name="_Toc175922393"/>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01A2BA17128A49949FEB6771EDEB0A2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9790ABD">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875DAB">
      <w:pPr>
        <w:pStyle w:val="59"/>
        <w:ind w:firstLine="420"/>
      </w:pPr>
      <w:r>
        <w:t xml:space="preserve">GB/T 19703—2020/ISO 15194:2009  </w:t>
      </w:r>
      <w:r>
        <w:rPr>
          <w:rFonts w:hint="eastAsia"/>
        </w:rPr>
        <w:t>体外诊断医疗器械</w:t>
      </w:r>
      <w:r>
        <w:t xml:space="preserve"> </w:t>
      </w:r>
      <w:r>
        <w:rPr>
          <w:rFonts w:hint="eastAsia"/>
        </w:rPr>
        <w:t>生物源性样品中量的测量</w:t>
      </w:r>
      <w:r>
        <w:t xml:space="preserve"> </w:t>
      </w:r>
      <w:r>
        <w:rPr>
          <w:rFonts w:hint="eastAsia"/>
        </w:rPr>
        <w:t>有证参考物质及支持文件内容的要求</w:t>
      </w:r>
    </w:p>
    <w:p w14:paraId="37947D6C">
      <w:pPr>
        <w:pStyle w:val="59"/>
        <w:ind w:firstLine="420"/>
        <w:rPr>
          <w:color w:val="FF0000"/>
        </w:rPr>
      </w:pPr>
      <w:r>
        <w:t xml:space="preserve">GB/T 35890—2018  </w:t>
      </w:r>
      <w:r>
        <w:rPr>
          <w:rFonts w:hint="eastAsia"/>
        </w:rPr>
        <w:t>高通量测序数据序列格式规范</w:t>
      </w:r>
    </w:p>
    <w:p w14:paraId="17D81A87">
      <w:pPr>
        <w:pStyle w:val="59"/>
        <w:ind w:firstLine="420"/>
      </w:pPr>
      <w:r>
        <w:t>GB/T 42751</w:t>
      </w:r>
      <w:r>
        <w:rPr>
          <w:rFonts w:hint="eastAsia"/>
        </w:rPr>
        <w:t>—</w:t>
      </w:r>
      <w:r>
        <w:t xml:space="preserve">2023  </w:t>
      </w:r>
      <w:r>
        <w:rPr>
          <w:rFonts w:hint="eastAsia"/>
        </w:rPr>
        <w:t>信息技术</w:t>
      </w:r>
      <w:r>
        <w:t xml:space="preserve"> </w:t>
      </w:r>
      <w:r>
        <w:rPr>
          <w:rFonts w:hint="eastAsia"/>
        </w:rPr>
        <w:t>生物特征识别</w:t>
      </w:r>
      <w:r>
        <w:t xml:space="preserve"> </w:t>
      </w:r>
      <w:r>
        <w:rPr>
          <w:rFonts w:hint="eastAsia"/>
        </w:rPr>
        <w:t>高通量测序基因分型系统规范</w:t>
      </w:r>
    </w:p>
    <w:p w14:paraId="4278C843">
      <w:pPr>
        <w:pStyle w:val="59"/>
        <w:ind w:firstLine="420"/>
        <w:rPr>
          <w:rFonts w:ascii="Arial" w:hAnsi="Arial" w:cs="Arial"/>
          <w:szCs w:val="21"/>
          <w:shd w:val="clear" w:color="auto" w:fill="FFFFFF"/>
        </w:rPr>
      </w:pPr>
      <w:r>
        <w:t xml:space="preserve">GA/T 1693—2020  </w:t>
      </w:r>
      <w:r>
        <w:rPr>
          <w:rFonts w:hint="eastAsia" w:ascii="Arial" w:hAnsi="Arial" w:cs="Arial"/>
          <w:szCs w:val="21"/>
          <w:shd w:val="clear" w:color="auto" w:fill="FFFFFF"/>
        </w:rPr>
        <w:t>法庭科学</w:t>
      </w:r>
      <w:r>
        <w:rPr>
          <w:rFonts w:ascii="Arial" w:hAnsi="Arial" w:cs="Arial"/>
          <w:szCs w:val="21"/>
          <w:shd w:val="clear" w:color="auto" w:fill="FFFFFF"/>
        </w:rPr>
        <w:t xml:space="preserve"> </w:t>
      </w:r>
      <w:r>
        <w:rPr>
          <w:rFonts w:hint="eastAsia"/>
        </w:rPr>
        <w:t>DNA</w:t>
      </w:r>
      <w:r>
        <w:rPr>
          <w:rFonts w:hint="eastAsia" w:ascii="Arial" w:hAnsi="Arial" w:cs="Arial"/>
          <w:szCs w:val="21"/>
          <w:shd w:val="clear" w:color="auto" w:fill="FFFFFF"/>
        </w:rPr>
        <w:t>二代测序检验规范</w:t>
      </w:r>
    </w:p>
    <w:p w14:paraId="57A0D0F3">
      <w:pPr>
        <w:pStyle w:val="59"/>
        <w:ind w:firstLine="420"/>
      </w:pPr>
      <w:r>
        <w:t xml:space="preserve">T/CHIA 21.2—2021  </w:t>
      </w:r>
      <w:r>
        <w:rPr>
          <w:rFonts w:hint="eastAsia"/>
        </w:rPr>
        <w:t>组学样本处理与数据分析标准</w:t>
      </w:r>
      <w:r>
        <w:t xml:space="preserve"> </w:t>
      </w:r>
      <w:r>
        <w:rPr>
          <w:rFonts w:hint="eastAsia"/>
        </w:rPr>
        <w:t>第2部分：全外显子组测序数据分析</w:t>
      </w:r>
    </w:p>
    <w:p w14:paraId="61688631">
      <w:pPr>
        <w:pStyle w:val="59"/>
        <w:ind w:firstLine="420"/>
      </w:pPr>
      <w:r>
        <w:t>T/SZAS 13</w:t>
      </w:r>
      <w:r>
        <w:rPr>
          <w:rFonts w:hint="eastAsia"/>
        </w:rPr>
        <w:t>—</w:t>
      </w:r>
      <w:r>
        <w:t xml:space="preserve">2019  </w:t>
      </w:r>
      <w:r>
        <w:rPr>
          <w:rFonts w:hint="eastAsia"/>
        </w:rPr>
        <w:t>基因组学数据集</w:t>
      </w:r>
    </w:p>
    <w:p w14:paraId="7598123C">
      <w:pPr>
        <w:pStyle w:val="107"/>
        <w:spacing w:before="240" w:after="240"/>
      </w:pPr>
      <w:bookmarkStart w:id="47" w:name="_Toc175922394"/>
      <w:bookmarkStart w:id="48" w:name="_Toc175839082"/>
      <w:bookmarkStart w:id="49" w:name="_Toc97192966"/>
      <w:r>
        <w:rPr>
          <w:rFonts w:hint="eastAsia"/>
          <w:szCs w:val="21"/>
        </w:rPr>
        <w:t>术语和定义</w:t>
      </w:r>
      <w:bookmarkEnd w:id="47"/>
      <w:bookmarkEnd w:id="48"/>
      <w:bookmarkEnd w:id="49"/>
    </w:p>
    <w:sdt>
      <w:sdtPr>
        <w:id w:val="-1909835108"/>
        <w:placeholder>
          <w:docPart w:val="DFA9E63CD612434C81F4041A692C32A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6006D19">
          <w:pPr>
            <w:pStyle w:val="59"/>
            <w:ind w:firstLine="420"/>
          </w:pPr>
          <w:bookmarkStart w:id="50" w:name="_Toc26986532"/>
          <w:bookmarkEnd w:id="50"/>
          <w:r>
            <w:t>下列术语和定义适用于本文件。</w:t>
          </w:r>
        </w:p>
      </w:sdtContent>
    </w:sdt>
    <w:p w14:paraId="1CA5FDB3">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高通量测序 high-throughput sequencing</w:t>
      </w:r>
    </w:p>
    <w:p w14:paraId="27028C2A">
      <w:pPr>
        <w:pStyle w:val="59"/>
        <w:ind w:firstLine="420"/>
      </w:pPr>
      <w:r>
        <w:rPr>
          <w:rFonts w:hint="eastAsia"/>
        </w:rPr>
        <w:t>能够一次并行对大量核酸分子进行平行序列测定的技术，通常一次测序反应能产生不低于100M碱基对的测序数据。</w:t>
      </w:r>
    </w:p>
    <w:p w14:paraId="27C7F812">
      <w:pPr>
        <w:pStyle w:val="59"/>
        <w:ind w:firstLine="420"/>
      </w:pPr>
      <w:r>
        <w:rPr>
          <w:rFonts w:hint="eastAsia"/>
        </w:rPr>
        <w:t>[来源：GB/T 42751—2023，3</w:t>
      </w:r>
      <w:r>
        <w:t>.1</w:t>
      </w:r>
      <w:r>
        <w:rPr>
          <w:rFonts w:hint="eastAsia"/>
        </w:rPr>
        <w:t>]</w:t>
      </w:r>
    </w:p>
    <w:p w14:paraId="212F06AE">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外显子组 </w:t>
      </w:r>
      <w:r>
        <w:rPr>
          <w:rFonts w:ascii="黑体" w:hAnsi="黑体" w:eastAsia="黑体"/>
        </w:rPr>
        <w:t>e</w:t>
      </w:r>
      <w:r>
        <w:rPr>
          <w:rFonts w:hint="eastAsia" w:ascii="黑体" w:hAnsi="黑体" w:eastAsia="黑体"/>
        </w:rPr>
        <w:t>xome</w:t>
      </w:r>
    </w:p>
    <w:p w14:paraId="242008B2">
      <w:pPr>
        <w:pStyle w:val="59"/>
        <w:ind w:firstLine="420"/>
      </w:pPr>
      <w:r>
        <w:rPr>
          <w:rFonts w:hint="eastAsia"/>
        </w:rPr>
        <w:t>个体基因组中能够编码产生蛋白质氨基酸序列的DNA区域的总和，在人类基因组中往往呈不连续的片段分布，占整个人类基因组的1～2%。</w:t>
      </w:r>
    </w:p>
    <w:p w14:paraId="4D520BDE">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全外显子组测序 </w:t>
      </w:r>
      <w:r>
        <w:rPr>
          <w:rFonts w:ascii="黑体" w:hAnsi="黑体" w:eastAsia="黑体"/>
        </w:rPr>
        <w:t>w</w:t>
      </w:r>
      <w:r>
        <w:rPr>
          <w:rFonts w:hint="eastAsia" w:ascii="黑体" w:hAnsi="黑体" w:eastAsia="黑体"/>
        </w:rPr>
        <w:t>hole exome sequencing, WES</w:t>
      </w:r>
    </w:p>
    <w:p w14:paraId="5F9E292D">
      <w:pPr>
        <w:pStyle w:val="59"/>
        <w:ind w:firstLine="420"/>
      </w:pPr>
      <w:r>
        <w:rPr>
          <w:rFonts w:hint="eastAsia"/>
        </w:rPr>
        <w:t>利用探针杂交富集外显子区域的DNA序列，然后通过高通量测序，主要识别和研究与疾病、种群进化相关的编码区及其调控区域相关遗传突变的技术手段。</w:t>
      </w:r>
    </w:p>
    <w:p w14:paraId="519E81E8">
      <w:pPr>
        <w:pStyle w:val="59"/>
        <w:ind w:firstLine="420"/>
      </w:pPr>
      <w:r>
        <w:rPr>
          <w:rFonts w:hint="eastAsia"/>
        </w:rPr>
        <w:t>[来源： T/CHIA 21.2—2021，</w:t>
      </w:r>
      <w:r>
        <w:t>3.3</w:t>
      </w:r>
      <w:r>
        <w:rPr>
          <w:rFonts w:hint="eastAsia"/>
        </w:rPr>
        <w:t>，有修改]</w:t>
      </w:r>
    </w:p>
    <w:p w14:paraId="67D556AC">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临床全外显子组测序 </w:t>
      </w:r>
      <w:r>
        <w:rPr>
          <w:rFonts w:ascii="黑体" w:hAnsi="黑体" w:eastAsia="黑体"/>
        </w:rPr>
        <w:t>c</w:t>
      </w:r>
      <w:r>
        <w:rPr>
          <w:rFonts w:hint="eastAsia" w:ascii="黑体" w:hAnsi="黑体" w:eastAsia="黑体"/>
        </w:rPr>
        <w:t xml:space="preserve">linical </w:t>
      </w:r>
      <w:r>
        <w:rPr>
          <w:rFonts w:ascii="黑体" w:hAnsi="黑体" w:eastAsia="黑体"/>
        </w:rPr>
        <w:t>w</w:t>
      </w:r>
      <w:r>
        <w:rPr>
          <w:rFonts w:hint="eastAsia" w:ascii="黑体" w:hAnsi="黑体" w:eastAsia="黑体"/>
        </w:rPr>
        <w:t xml:space="preserve">hole </w:t>
      </w:r>
      <w:r>
        <w:rPr>
          <w:rFonts w:ascii="黑体" w:hAnsi="黑体" w:eastAsia="黑体"/>
        </w:rPr>
        <w:t>e</w:t>
      </w:r>
      <w:r>
        <w:rPr>
          <w:rFonts w:hint="eastAsia" w:ascii="黑体" w:hAnsi="黑体" w:eastAsia="黑体"/>
        </w:rPr>
        <w:t xml:space="preserve">xome </w:t>
      </w:r>
      <w:r>
        <w:rPr>
          <w:rFonts w:ascii="黑体" w:hAnsi="黑体" w:eastAsia="黑体"/>
        </w:rPr>
        <w:t>s</w:t>
      </w:r>
      <w:r>
        <w:rPr>
          <w:rFonts w:hint="eastAsia" w:ascii="黑体" w:hAnsi="黑体" w:eastAsia="黑体"/>
        </w:rPr>
        <w:t>equencing; cWES</w:t>
      </w:r>
    </w:p>
    <w:p w14:paraId="7E6AEA4F">
      <w:pPr>
        <w:pStyle w:val="59"/>
        <w:ind w:firstLine="420"/>
      </w:pPr>
      <w:r>
        <w:rPr>
          <w:rFonts w:hint="eastAsia"/>
        </w:rPr>
        <w:t>利用序列捕获技术将外显子区域捕获并富集后进行高通量基因测序，针对公共数据库（如OMIM数据库）中明确致病的基因，对获得的全外显子组数据进行单基因遗传病相关的变异校正及解读信息注释，从而获得与受检者相关的遗传病变异信息的检测方法。</w:t>
      </w:r>
    </w:p>
    <w:p w14:paraId="68CF91B2">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性能确认 validation</w:t>
      </w:r>
    </w:p>
    <w:p w14:paraId="7E154B67">
      <w:pPr>
        <w:pStyle w:val="59"/>
        <w:ind w:firstLine="420"/>
      </w:pPr>
      <w:r>
        <w:rPr>
          <w:rFonts w:hint="eastAsia"/>
        </w:rPr>
        <w:t>性能确认是指对未经确认或自建的检验程序，以及明显修改过的检验程序，通过提供客观证据对特定的预期用途或应用要求已得到满足的认定。临床实验室应根据相应临床需要和目前技术水平制定检验程序分析性能标准（可接受的性能指标限值），作为确认结果解释的主要依据。</w:t>
      </w:r>
    </w:p>
    <w:p w14:paraId="577D2D5B">
      <w:pPr>
        <w:pStyle w:val="226"/>
        <w:ind w:left="420" w:hanging="420" w:hangingChars="200"/>
        <w:rPr>
          <w:rFonts w:ascii="黑体" w:hAnsi="黑体" w:eastAsia="黑体"/>
        </w:rPr>
      </w:pPr>
      <w:r>
        <w:rPr>
          <w:rFonts w:ascii="黑体" w:hAnsi="黑体" w:eastAsia="黑体"/>
        </w:rPr>
        <w:br w:type="textWrapping"/>
      </w:r>
      <w:r>
        <w:rPr>
          <w:rFonts w:ascii="黑体" w:hAnsi="黑体" w:eastAsia="黑体"/>
        </w:rPr>
        <w:t>Barcode</w:t>
      </w:r>
    </w:p>
    <w:p w14:paraId="7841D5AB">
      <w:pPr>
        <w:pStyle w:val="59"/>
        <w:ind w:firstLine="420"/>
      </w:pPr>
      <w:r>
        <w:rPr>
          <w:rFonts w:hint="eastAsia"/>
        </w:rPr>
        <w:t>一段特征性的脱氧核苷酸段片段，在多样本混合测序时，充当识别特定样本来源的唯一编号。</w:t>
      </w:r>
    </w:p>
    <w:p w14:paraId="10AF0A9E">
      <w:pPr>
        <w:pStyle w:val="59"/>
        <w:ind w:firstLine="420"/>
      </w:pPr>
      <w:r>
        <w:rPr>
          <w:rFonts w:hint="eastAsia"/>
        </w:rPr>
        <w:t>[来源：GA/T 1693—2020,3.10]</w:t>
      </w:r>
    </w:p>
    <w:p w14:paraId="65475D41">
      <w:pPr>
        <w:pStyle w:val="226"/>
        <w:ind w:left="420" w:hanging="420" w:hangingChars="200"/>
        <w:rPr>
          <w:rFonts w:ascii="黑体" w:hAnsi="黑体" w:eastAsia="黑体"/>
        </w:rPr>
      </w:pPr>
      <w:r>
        <w:rPr>
          <w:rFonts w:ascii="黑体" w:hAnsi="黑体" w:eastAsia="黑体"/>
        </w:rPr>
        <w:br w:type="textWrapping"/>
      </w:r>
      <w:r>
        <w:rPr>
          <w:rFonts w:ascii="黑体" w:hAnsi="黑体" w:eastAsia="黑体"/>
        </w:rPr>
        <w:t>Q20</w:t>
      </w:r>
    </w:p>
    <w:p w14:paraId="7DD16A6A">
      <w:pPr>
        <w:pStyle w:val="59"/>
        <w:ind w:firstLine="420"/>
      </w:pPr>
      <w:r>
        <w:rPr>
          <w:rFonts w:hint="eastAsia"/>
        </w:rPr>
        <w:t>测序数据中，碱基识别质量值大于20的碱基占所有碱基的比例。</w:t>
      </w:r>
    </w:p>
    <w:p w14:paraId="65EC629C">
      <w:pPr>
        <w:pStyle w:val="182"/>
      </w:pPr>
      <w:r>
        <w:rPr>
          <w:rFonts w:hint="eastAsia"/>
        </w:rPr>
        <w:t>碱基识别质量值为20时，表示碱基的正确率为99%以上。Q20≥95%，则表示测序数据中95%及以上的碱基正确率为99%以上。</w:t>
      </w:r>
    </w:p>
    <w:p w14:paraId="279F1C94">
      <w:pPr>
        <w:pStyle w:val="59"/>
        <w:ind w:firstLine="420"/>
      </w:pPr>
      <w:r>
        <w:rPr>
          <w:rFonts w:hint="eastAsia"/>
        </w:rPr>
        <w:t>[来源：</w:t>
      </w:r>
      <w:r>
        <w:t>T/SZAS 13—2019</w:t>
      </w:r>
      <w:r>
        <w:rPr>
          <w:rFonts w:hint="eastAsia"/>
        </w:rPr>
        <w:t>,3.1</w:t>
      </w:r>
      <w:r>
        <w:t>.12</w:t>
      </w:r>
      <w:r>
        <w:rPr>
          <w:rFonts w:hint="eastAsia"/>
        </w:rPr>
        <w:t>，有修改]</w:t>
      </w:r>
    </w:p>
    <w:p w14:paraId="04E348B5">
      <w:pPr>
        <w:pStyle w:val="226"/>
        <w:ind w:left="420" w:hanging="420" w:hangingChars="200"/>
        <w:rPr>
          <w:rFonts w:ascii="黑体" w:hAnsi="黑体" w:eastAsia="黑体"/>
        </w:rPr>
      </w:pPr>
      <w:r>
        <w:rPr>
          <w:rFonts w:ascii="黑体" w:hAnsi="黑体" w:eastAsia="黑体"/>
        </w:rPr>
        <w:br w:type="textWrapping"/>
      </w:r>
      <w:r>
        <w:rPr>
          <w:rFonts w:ascii="黑体" w:hAnsi="黑体" w:eastAsia="黑体"/>
        </w:rPr>
        <w:t>Q30</w:t>
      </w:r>
    </w:p>
    <w:p w14:paraId="1E69075F">
      <w:pPr>
        <w:pStyle w:val="59"/>
        <w:ind w:firstLine="420"/>
      </w:pPr>
      <w:r>
        <w:rPr>
          <w:rFonts w:hint="eastAsia"/>
        </w:rPr>
        <w:t>测序数据中，碱基识别质量值大于30的碱基占所有碱基的比例。</w:t>
      </w:r>
    </w:p>
    <w:p w14:paraId="3E4C8328">
      <w:pPr>
        <w:pStyle w:val="182"/>
      </w:pPr>
      <w:r>
        <w:rPr>
          <w:rFonts w:hint="eastAsia"/>
        </w:rPr>
        <w:t>碱基识别质量值为30时，表示碱基的正确率为99.9%以上。Q30≥85%，则表示测序数据中85%及以上的碱基正确率为99.9%以上。</w:t>
      </w:r>
    </w:p>
    <w:p w14:paraId="0F1830F3">
      <w:pPr>
        <w:pStyle w:val="59"/>
        <w:ind w:firstLine="420"/>
      </w:pPr>
      <w:r>
        <w:rPr>
          <w:rFonts w:hint="eastAsia"/>
        </w:rPr>
        <w:t>[来源：</w:t>
      </w:r>
      <w:r>
        <w:t>T/SZAS 13—2019</w:t>
      </w:r>
      <w:r>
        <w:rPr>
          <w:rFonts w:hint="eastAsia"/>
        </w:rPr>
        <w:t>,3.1</w:t>
      </w:r>
      <w:r>
        <w:t>.13</w:t>
      </w:r>
      <w:r>
        <w:rPr>
          <w:rFonts w:hint="eastAsia"/>
        </w:rPr>
        <w:t>，有修改]</w:t>
      </w:r>
    </w:p>
    <w:p w14:paraId="5E6BFC99">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平均测序深度 </w:t>
      </w:r>
      <w:r>
        <w:rPr>
          <w:rFonts w:ascii="黑体" w:hAnsi="黑体" w:eastAsia="黑体"/>
        </w:rPr>
        <w:t>a</w:t>
      </w:r>
      <w:r>
        <w:rPr>
          <w:rFonts w:hint="eastAsia" w:ascii="黑体" w:hAnsi="黑体" w:eastAsia="黑体"/>
        </w:rPr>
        <w:t>verage sequencing depth</w:t>
      </w:r>
    </w:p>
    <w:p w14:paraId="6FC670A4">
      <w:pPr>
        <w:pStyle w:val="59"/>
        <w:ind w:firstLine="420"/>
      </w:pPr>
      <w:r>
        <w:rPr>
          <w:rFonts w:hint="eastAsia"/>
        </w:rPr>
        <w:t>测序得到的落在目标区域的碱基数与目标区域长度的比值。</w:t>
      </w:r>
    </w:p>
    <w:p w14:paraId="5CFC1A07">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覆盖度 </w:t>
      </w:r>
      <w:r>
        <w:rPr>
          <w:rFonts w:ascii="黑体" w:hAnsi="黑体" w:eastAsia="黑体"/>
        </w:rPr>
        <w:t>c</w:t>
      </w:r>
      <w:r>
        <w:rPr>
          <w:rFonts w:hint="eastAsia" w:ascii="黑体" w:hAnsi="黑体" w:eastAsia="黑体"/>
        </w:rPr>
        <w:t>overage ratio</w:t>
      </w:r>
    </w:p>
    <w:p w14:paraId="018B8349">
      <w:pPr>
        <w:pStyle w:val="59"/>
        <w:ind w:firstLine="420"/>
      </w:pPr>
      <w:r>
        <w:rPr>
          <w:rFonts w:hint="eastAsia"/>
        </w:rPr>
        <w:t>捕获芯片的覆盖度指捕获范围占参考序列总区域的百分比。而外显子组测序数据中的覆盖度则是指将测序序列比对到参考序列上时，所有被比对到的区域占捕获芯片范围总区域的百分比。</w:t>
      </w:r>
    </w:p>
    <w:p w14:paraId="4E7F6BCA">
      <w:pPr>
        <w:pStyle w:val="182"/>
      </w:pPr>
      <w:r>
        <w:rPr>
          <w:rFonts w:hint="eastAsia"/>
        </w:rPr>
        <w:t>本文件中如无特殊注明，覆盖度均指外显子组测序数据中的覆盖度。</w:t>
      </w:r>
    </w:p>
    <w:p w14:paraId="686C6D80">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单核苷酸变异 </w:t>
      </w:r>
      <w:r>
        <w:rPr>
          <w:rFonts w:ascii="黑体" w:hAnsi="黑体" w:eastAsia="黑体"/>
        </w:rPr>
        <w:t>s</w:t>
      </w:r>
      <w:r>
        <w:rPr>
          <w:rFonts w:hint="eastAsia" w:ascii="黑体" w:hAnsi="黑体" w:eastAsia="黑体"/>
        </w:rPr>
        <w:t xml:space="preserve">ingle </w:t>
      </w:r>
      <w:r>
        <w:rPr>
          <w:rFonts w:ascii="黑体" w:hAnsi="黑体" w:eastAsia="黑体"/>
        </w:rPr>
        <w:t>n</w:t>
      </w:r>
      <w:r>
        <w:rPr>
          <w:rFonts w:hint="eastAsia" w:ascii="黑体" w:hAnsi="黑体" w:eastAsia="黑体"/>
        </w:rPr>
        <w:t xml:space="preserve">ucleotide </w:t>
      </w:r>
      <w:r>
        <w:rPr>
          <w:rFonts w:ascii="黑体" w:hAnsi="黑体" w:eastAsia="黑体"/>
        </w:rPr>
        <w:t>v</w:t>
      </w:r>
      <w:r>
        <w:rPr>
          <w:rFonts w:hint="eastAsia" w:ascii="黑体" w:hAnsi="黑体" w:eastAsia="黑体"/>
        </w:rPr>
        <w:t>ariation; SNV</w:t>
      </w:r>
    </w:p>
    <w:p w14:paraId="14D4C947">
      <w:pPr>
        <w:pStyle w:val="59"/>
        <w:ind w:firstLine="420"/>
      </w:pPr>
      <w:r>
        <w:rPr>
          <w:rFonts w:hint="eastAsia"/>
        </w:rPr>
        <w:t>在基因组水平，由单个核苷酸位点的变异（替代、插入或缺失）所引起的脱氧核糖核苷酸序列变异。</w:t>
      </w:r>
    </w:p>
    <w:p w14:paraId="74DDAEAF">
      <w:pPr>
        <w:pStyle w:val="59"/>
        <w:ind w:firstLine="420"/>
      </w:pPr>
      <w:r>
        <w:rPr>
          <w:rFonts w:hint="eastAsia"/>
        </w:rPr>
        <w:t>[来源：</w:t>
      </w:r>
      <w:r>
        <w:t>T/SZAS 13—2019</w:t>
      </w:r>
      <w:r>
        <w:rPr>
          <w:rFonts w:hint="eastAsia"/>
        </w:rPr>
        <w:t>,3.1</w:t>
      </w:r>
      <w:r>
        <w:t>.2</w:t>
      </w:r>
      <w:r>
        <w:rPr>
          <w:rFonts w:hint="eastAsia"/>
        </w:rPr>
        <w:t>，有修改]</w:t>
      </w:r>
    </w:p>
    <w:p w14:paraId="423A7080">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插入缺失型变异 insertion and deletion; InDel</w:t>
      </w:r>
    </w:p>
    <w:p w14:paraId="56FAB1D2">
      <w:pPr>
        <w:pStyle w:val="59"/>
        <w:ind w:firstLine="420"/>
      </w:pPr>
      <w:r>
        <w:rPr>
          <w:rFonts w:hint="eastAsia"/>
        </w:rPr>
        <w:t>在基因组的某个位置上所发生的小片段序列的插入或者缺失，插入或缺失片段的长度在50 bp以下。</w:t>
      </w:r>
    </w:p>
    <w:p w14:paraId="719B80A4">
      <w:pPr>
        <w:pStyle w:val="59"/>
        <w:ind w:firstLine="420"/>
      </w:pPr>
      <w:r>
        <w:rPr>
          <w:rFonts w:hint="eastAsia"/>
        </w:rPr>
        <w:t>[来源：</w:t>
      </w:r>
      <w:r>
        <w:t>T/SZAS 13—2019</w:t>
      </w:r>
      <w:r>
        <w:rPr>
          <w:rFonts w:hint="eastAsia"/>
        </w:rPr>
        <w:t>,3.1</w:t>
      </w:r>
      <w:r>
        <w:t>.3</w:t>
      </w:r>
      <w:r>
        <w:rPr>
          <w:rFonts w:hint="eastAsia"/>
        </w:rPr>
        <w:t>]</w:t>
      </w:r>
    </w:p>
    <w:p w14:paraId="7CC287B1">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拷贝数变异 copy number variation; CNV</w:t>
      </w:r>
    </w:p>
    <w:p w14:paraId="4DDC8BA8">
      <w:pPr>
        <w:pStyle w:val="59"/>
        <w:ind w:firstLine="420"/>
      </w:pPr>
      <w:r>
        <w:rPr>
          <w:rFonts w:hint="eastAsia"/>
        </w:rPr>
        <w:t>大片段缺失和大片段重复又叫拷贝数变异，即连续较长的序列发生了缺失或者重复，与插入缺失型变异的区别在于变异的长度更长。</w:t>
      </w:r>
    </w:p>
    <w:p w14:paraId="4A3CA48F">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线粒体变异 mitochondrial mutation</w:t>
      </w:r>
    </w:p>
    <w:p w14:paraId="1381D533">
      <w:pPr>
        <w:pStyle w:val="59"/>
        <w:ind w:firstLine="420"/>
      </w:pPr>
      <w:r>
        <w:rPr>
          <w:rFonts w:hint="eastAsia"/>
        </w:rPr>
        <w:t>线粒体DNA（mtDNA）发生的变异，这些变异可以导致线粒体功能障碍或疾病。</w:t>
      </w:r>
    </w:p>
    <w:p w14:paraId="0B8FDA1A">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杂合性缺失 </w:t>
      </w:r>
      <w:r>
        <w:rPr>
          <w:rFonts w:ascii="黑体" w:hAnsi="黑体" w:eastAsia="黑体"/>
        </w:rPr>
        <w:t>l</w:t>
      </w:r>
      <w:r>
        <w:rPr>
          <w:rFonts w:hint="eastAsia" w:ascii="黑体" w:hAnsi="黑体" w:eastAsia="黑体"/>
        </w:rPr>
        <w:t xml:space="preserve">oss of </w:t>
      </w:r>
      <w:r>
        <w:rPr>
          <w:rFonts w:ascii="黑体" w:hAnsi="黑体" w:eastAsia="黑体"/>
        </w:rPr>
        <w:t>h</w:t>
      </w:r>
      <w:r>
        <w:rPr>
          <w:rFonts w:hint="eastAsia" w:ascii="黑体" w:hAnsi="黑体" w:eastAsia="黑体"/>
        </w:rPr>
        <w:t>eterozygosity; LOH</w:t>
      </w:r>
    </w:p>
    <w:p w14:paraId="18CA9401">
      <w:pPr>
        <w:pStyle w:val="59"/>
        <w:ind w:firstLine="420"/>
      </w:pPr>
      <w:r>
        <w:rPr>
          <w:rFonts w:hint="eastAsia"/>
        </w:rPr>
        <w:t>包含拷贝数减少的杂合性缺失（copy losses-LOH, CL-LOH）和拷贝数中性杂合性缺失（copy neutral-LOH，CN-LOH）两种情况。在一对同源染色体上，位于相同基因座的两个等位基因中的一个发生缺失，导致的杂合状态丧失，即CL-LOH；由同源重组等多种机制造成的，未发生拷贝数变化的等位基因失衡，则为CN-LOH。</w:t>
      </w:r>
    </w:p>
    <w:p w14:paraId="28AEC4C7">
      <w:pPr>
        <w:pStyle w:val="182"/>
      </w:pPr>
      <w:r>
        <w:rPr>
          <w:rFonts w:hint="eastAsia"/>
        </w:rPr>
        <w:t>本文件中如无特殊注明，LOH均指CN-LOH。</w:t>
      </w:r>
    </w:p>
    <w:p w14:paraId="02683124">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短串联重复序列 short </w:t>
      </w:r>
      <w:r>
        <w:rPr>
          <w:rFonts w:ascii="黑体" w:hAnsi="黑体" w:eastAsia="黑体"/>
        </w:rPr>
        <w:t>t</w:t>
      </w:r>
      <w:r>
        <w:rPr>
          <w:rFonts w:hint="eastAsia" w:ascii="黑体" w:hAnsi="黑体" w:eastAsia="黑体"/>
        </w:rPr>
        <w:t xml:space="preserve">andem </w:t>
      </w:r>
      <w:r>
        <w:rPr>
          <w:rFonts w:ascii="黑体" w:hAnsi="黑体" w:eastAsia="黑体"/>
        </w:rPr>
        <w:t>r</w:t>
      </w:r>
      <w:r>
        <w:rPr>
          <w:rFonts w:hint="eastAsia" w:ascii="黑体" w:hAnsi="黑体" w:eastAsia="黑体"/>
        </w:rPr>
        <w:t>epeats; STR</w:t>
      </w:r>
    </w:p>
    <w:p w14:paraId="7231E194">
      <w:pPr>
        <w:pStyle w:val="59"/>
        <w:ind w:firstLine="420"/>
      </w:pPr>
      <w:r>
        <w:rPr>
          <w:rFonts w:hint="eastAsia"/>
        </w:rPr>
        <w:t>短串联重复序列是由2到6个核苷酸组成的序列，在基因组中串联重复出现。</w:t>
      </w:r>
    </w:p>
    <w:p w14:paraId="0BD9CA2B">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染色体非整倍体 </w:t>
      </w:r>
      <w:r>
        <w:rPr>
          <w:rFonts w:ascii="黑体" w:hAnsi="黑体" w:eastAsia="黑体"/>
        </w:rPr>
        <w:t>a</w:t>
      </w:r>
      <w:r>
        <w:rPr>
          <w:rFonts w:hint="eastAsia" w:ascii="黑体" w:hAnsi="黑体" w:eastAsia="黑体"/>
        </w:rPr>
        <w:t>neuploidy</w:t>
      </w:r>
    </w:p>
    <w:p w14:paraId="3D2D8500">
      <w:pPr>
        <w:pStyle w:val="59"/>
        <w:ind w:firstLine="420"/>
      </w:pPr>
      <w:r>
        <w:rPr>
          <w:rFonts w:hint="eastAsia"/>
        </w:rPr>
        <w:t>在正常的染色体组中，丢失或增加了一条或几条完整的染色体，如单体（丢失单条染色体）和三体（额外增加一条染色体）。</w:t>
      </w:r>
    </w:p>
    <w:p w14:paraId="34447F91">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灵敏度 </w:t>
      </w:r>
      <w:r>
        <w:rPr>
          <w:rFonts w:ascii="黑体" w:hAnsi="黑体" w:eastAsia="黑体"/>
        </w:rPr>
        <w:t>s</w:t>
      </w:r>
      <w:r>
        <w:rPr>
          <w:rFonts w:hint="eastAsia" w:ascii="黑体" w:hAnsi="黑体" w:eastAsia="黑体"/>
        </w:rPr>
        <w:t>ensitivity</w:t>
      </w:r>
    </w:p>
    <w:p w14:paraId="42DEA169">
      <w:pPr>
        <w:pStyle w:val="59"/>
        <w:ind w:firstLine="420"/>
      </w:pPr>
      <w:r>
        <w:rPr>
          <w:rFonts w:hint="eastAsia"/>
        </w:rPr>
        <w:t>灵敏度，又称查全率或召回率，它是针对真实结果而言的，是指实际为阳性的结果，被正确检测到的概率，其公式为：灵敏度=TP/(TP+FN)×100%。TP指与标准变异数据集基因变异位点一致的检测基因变异位点个数。FN指标准变异数据集中包含、但未被检出的基因变异位点个数，即漏检的个数。</w:t>
      </w:r>
    </w:p>
    <w:p w14:paraId="308711C5">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精确率 </w:t>
      </w:r>
      <w:r>
        <w:rPr>
          <w:rFonts w:ascii="黑体" w:hAnsi="黑体" w:eastAsia="黑体"/>
        </w:rPr>
        <w:t>p</w:t>
      </w:r>
      <w:r>
        <w:rPr>
          <w:rFonts w:hint="eastAsia" w:ascii="黑体" w:hAnsi="黑体" w:eastAsia="黑体"/>
        </w:rPr>
        <w:t>recision</w:t>
      </w:r>
    </w:p>
    <w:p w14:paraId="48C18583">
      <w:pPr>
        <w:pStyle w:val="59"/>
        <w:ind w:firstLine="420"/>
      </w:pPr>
      <w:r>
        <w:rPr>
          <w:rFonts w:hint="eastAsia"/>
        </w:rPr>
        <w:t>精确率，又称查准率，它是针对检出结果而言的，是在所有检出为阳性的结果中，实际为阳性的比例，其公式为：精确率=TP/(TP+FP)×100%。TP指与标准变异数据集基因变异位点一致的检测基因变异位点个数。FP指与标准变异数据集基因变异位点不一致的检测基因变异位点个数，即误报的结果。</w:t>
      </w:r>
    </w:p>
    <w:p w14:paraId="61F166FA">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参考品 reference material; RM</w:t>
      </w:r>
    </w:p>
    <w:p w14:paraId="050861AA">
      <w:pPr>
        <w:pStyle w:val="59"/>
        <w:ind w:firstLine="420"/>
      </w:pPr>
      <w:r>
        <w:rPr>
          <w:rFonts w:hint="eastAsia"/>
        </w:rPr>
        <w:t>在一项或多项特性上具有足够的均匀性和稳定性，用于校准、给其他物质赋值或提供质量保证的物质。</w:t>
      </w:r>
    </w:p>
    <w:p w14:paraId="2D975CE6">
      <w:pPr>
        <w:pStyle w:val="59"/>
        <w:ind w:firstLine="420"/>
      </w:pPr>
      <w:r>
        <w:rPr>
          <w:rFonts w:hint="eastAsia"/>
        </w:rPr>
        <w:t>[来源：GB/T 19703—2020/ISO 15194:2009，</w:t>
      </w:r>
      <w:r>
        <w:t>3.4</w:t>
      </w:r>
      <w:r>
        <w:rPr>
          <w:rFonts w:hint="eastAsia"/>
        </w:rPr>
        <w:t>，有修改]</w:t>
      </w:r>
    </w:p>
    <w:p w14:paraId="19856AAF">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测序片段 </w:t>
      </w:r>
      <w:r>
        <w:rPr>
          <w:rFonts w:ascii="黑体" w:hAnsi="黑体" w:eastAsia="黑体"/>
        </w:rPr>
        <w:t>r</w:t>
      </w:r>
      <w:r>
        <w:rPr>
          <w:rFonts w:hint="eastAsia" w:ascii="黑体" w:hAnsi="黑体" w:eastAsia="黑体"/>
        </w:rPr>
        <w:t>eads</w:t>
      </w:r>
    </w:p>
    <w:p w14:paraId="2E5A6E01">
      <w:pPr>
        <w:pStyle w:val="59"/>
        <w:ind w:firstLine="420"/>
      </w:pPr>
      <w:r>
        <w:rPr>
          <w:rFonts w:hint="eastAsia"/>
        </w:rPr>
        <w:t>高通量平台产生的含有碱基序列和质量值的序列片段。</w:t>
      </w:r>
    </w:p>
    <w:p w14:paraId="5E3AD934">
      <w:pPr>
        <w:pStyle w:val="59"/>
        <w:ind w:firstLine="420"/>
      </w:pPr>
      <w:r>
        <w:rPr>
          <w:rFonts w:hint="eastAsia"/>
        </w:rPr>
        <w:t>[来源：GB/T 35890—2018，3.1]</w:t>
      </w:r>
    </w:p>
    <w:p w14:paraId="1E2B6C26">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基因型质量值 </w:t>
      </w:r>
      <w:r>
        <w:rPr>
          <w:rFonts w:ascii="黑体" w:hAnsi="黑体" w:eastAsia="黑体"/>
        </w:rPr>
        <w:t>g</w:t>
      </w:r>
      <w:r>
        <w:rPr>
          <w:rFonts w:hint="eastAsia" w:ascii="黑体" w:hAnsi="黑体" w:eastAsia="黑体"/>
        </w:rPr>
        <w:t>enotype quality; GQ</w:t>
      </w:r>
    </w:p>
    <w:p w14:paraId="3966481A">
      <w:pPr>
        <w:pStyle w:val="59"/>
        <w:ind w:firstLine="420"/>
      </w:pPr>
      <w:r>
        <w:rPr>
          <w:rFonts w:hint="eastAsia"/>
        </w:rPr>
        <w:t>Phred格式的质量值，表示在该位点该基因型存在的可能性，该值越高，则Genotype结果正确的可能性越大。</w:t>
      </w:r>
    </w:p>
    <w:p w14:paraId="5F0E664D">
      <w:pPr>
        <w:pStyle w:val="107"/>
        <w:spacing w:before="240" w:after="240"/>
      </w:pPr>
      <w:bookmarkStart w:id="51" w:name="_Toc175922395"/>
      <w:bookmarkStart w:id="52" w:name="_Toc175839083"/>
      <w:r>
        <w:rPr>
          <w:rFonts w:hint="eastAsia"/>
        </w:rPr>
        <w:t>检测性能要求</w:t>
      </w:r>
      <w:bookmarkEnd w:id="51"/>
      <w:bookmarkEnd w:id="52"/>
    </w:p>
    <w:p w14:paraId="46778717">
      <w:pPr>
        <w:pStyle w:val="108"/>
        <w:spacing w:before="120" w:after="120"/>
      </w:pPr>
      <w:r>
        <w:rPr>
          <w:rFonts w:hint="eastAsia"/>
        </w:rPr>
        <w:t>样本质量控制要求</w:t>
      </w:r>
    </w:p>
    <w:p w14:paraId="72866581">
      <w:pPr>
        <w:pStyle w:val="168"/>
      </w:pPr>
      <w:r>
        <w:rPr>
          <w:rFonts w:hint="eastAsia"/>
        </w:rPr>
        <w:t>各实验室应综合考虑检测范围及目的，确定应包含的样本类型，如外周血、羊水、流产组织及基因组DNA等。</w:t>
      </w:r>
    </w:p>
    <w:p w14:paraId="28F0F223">
      <w:pPr>
        <w:pStyle w:val="168"/>
      </w:pPr>
      <w:r>
        <w:rPr>
          <w:rFonts w:hint="eastAsia"/>
        </w:rPr>
        <w:t>各样本类型的运输流程，应综合考虑样本采集器储存条件及样本本身的特性，且应包含采样器无破裂、漏液等可能造成的交叉污染和样本降解、样本量不足等问题的质量要求，应包含受检者签署的知情同意书、样本编码及送检信息清晰完整的要求，确保无混样风险。</w:t>
      </w:r>
    </w:p>
    <w:p w14:paraId="3E85EE53">
      <w:pPr>
        <w:pStyle w:val="168"/>
      </w:pPr>
      <w:r>
        <w:rPr>
          <w:rFonts w:hint="eastAsia"/>
        </w:rPr>
        <w:t>样本质量控制要求应综合考虑样本特性，进行充分测试，评估各样本类型的建议采样量，以及各类型样本在检测流程中的结果准确性及稳定性。建议采样量应为文库构建环节DNA投入量的3～4倍，各样本类型的建议采样量可参考附录A。</w:t>
      </w:r>
    </w:p>
    <w:p w14:paraId="3C9DB5E3">
      <w:pPr>
        <w:pStyle w:val="108"/>
        <w:spacing w:before="120" w:after="120"/>
      </w:pPr>
      <w:r>
        <w:rPr>
          <w:rFonts w:hint="eastAsia"/>
        </w:rPr>
        <w:t>DNA提取质量要求</w:t>
      </w:r>
    </w:p>
    <w:p w14:paraId="0957A1A1">
      <w:pPr>
        <w:pStyle w:val="168"/>
      </w:pPr>
      <w:r>
        <w:rPr>
          <w:rFonts w:hint="eastAsia"/>
        </w:rPr>
        <w:t>提取试剂的批号、名称、外观应符合说明书标示，有效期应在规定范围内。</w:t>
      </w:r>
    </w:p>
    <w:p w14:paraId="01E06101">
      <w:pPr>
        <w:pStyle w:val="168"/>
      </w:pPr>
      <w:r>
        <w:rPr>
          <w:rFonts w:hint="eastAsia"/>
        </w:rPr>
        <w:t>提取后的DNA质量要求如下：</w:t>
      </w:r>
    </w:p>
    <w:p w14:paraId="17F609BB">
      <w:pPr>
        <w:pStyle w:val="177"/>
      </w:pPr>
      <w:r>
        <w:rPr>
          <w:rFonts w:hint="eastAsia"/>
        </w:rPr>
        <w:t>DNA总量应为文库构建环节DNA投入量的2倍以上；</w:t>
      </w:r>
    </w:p>
    <w:p w14:paraId="54DFFE69">
      <w:pPr>
        <w:pStyle w:val="177"/>
      </w:pPr>
      <w:r>
        <w:rPr>
          <w:rFonts w:hint="eastAsia"/>
        </w:rPr>
        <w:t>电泳检测DNA主带明显，无明显降解；</w:t>
      </w:r>
    </w:p>
    <w:p w14:paraId="302FEAD2">
      <w:pPr>
        <w:pStyle w:val="177"/>
      </w:pPr>
      <w:r>
        <w:rPr>
          <w:rFonts w:hint="eastAsia"/>
        </w:rPr>
        <w:t>DNA吸光值A260/280比值为1.7～1.9。</w:t>
      </w:r>
    </w:p>
    <w:p w14:paraId="39504A9D">
      <w:pPr>
        <w:pStyle w:val="168"/>
      </w:pPr>
      <w:r>
        <w:rPr>
          <w:rFonts w:hint="eastAsia"/>
        </w:rPr>
        <w:t>大批量自动化提取时应包含污染质控，即空白对照提取浓度＜1</w:t>
      </w:r>
      <w:r>
        <w:t xml:space="preserve"> </w:t>
      </w:r>
      <w:r>
        <w:rPr>
          <w:rFonts w:hint="eastAsia"/>
        </w:rPr>
        <w:t>ng/μL。</w:t>
      </w:r>
    </w:p>
    <w:p w14:paraId="584B3815">
      <w:pPr>
        <w:pStyle w:val="108"/>
        <w:spacing w:before="120" w:after="120"/>
      </w:pPr>
      <w:r>
        <w:rPr>
          <w:rFonts w:hint="eastAsia"/>
        </w:rPr>
        <w:t>文库构建及杂交捕获质量要求</w:t>
      </w:r>
    </w:p>
    <w:p w14:paraId="58B36FAB">
      <w:pPr>
        <w:pStyle w:val="168"/>
      </w:pPr>
      <w:r>
        <w:rPr>
          <w:rFonts w:hint="eastAsia"/>
        </w:rPr>
        <w:t>文库构建及杂交捕获试剂的批号、名称、外观应符合说明书标示，有效期应在规定范围内。杂交后的文库DNA总量应为测序上机环节投入量的2倍以上，文库的片段大小、体积、浓度等均需要符合相应平台的上机标准。其中，MGI测序平台建议文库总量≥600</w:t>
      </w:r>
      <w:r>
        <w:t xml:space="preserve"> </w:t>
      </w:r>
      <w:r>
        <w:rPr>
          <w:rFonts w:hint="eastAsia"/>
        </w:rPr>
        <w:t>ng；Illumina测序平台建议文库浓度≥1</w:t>
      </w:r>
      <w:r>
        <w:t xml:space="preserve"> </w:t>
      </w:r>
      <w:r>
        <w:rPr>
          <w:rFonts w:hint="eastAsia"/>
        </w:rPr>
        <w:t>nM且文库体积≥20</w:t>
      </w:r>
      <w:r>
        <w:t xml:space="preserve"> </w:t>
      </w:r>
      <w:r>
        <w:rPr>
          <w:rFonts w:hint="eastAsia"/>
        </w:rPr>
        <w:t>μL。文库片段大小建议在200</w:t>
      </w:r>
      <w:r>
        <w:t xml:space="preserve"> bp</w:t>
      </w:r>
      <w:r>
        <w:rPr>
          <w:rFonts w:hint="eastAsia"/>
        </w:rPr>
        <w:t>～500</w:t>
      </w:r>
      <w:r>
        <w:t xml:space="preserve"> </w:t>
      </w:r>
      <w:r>
        <w:rPr>
          <w:rFonts w:hint="eastAsia"/>
        </w:rPr>
        <w:t>bp。</w:t>
      </w:r>
    </w:p>
    <w:p w14:paraId="76CFDE7E">
      <w:pPr>
        <w:pStyle w:val="168"/>
      </w:pPr>
      <w:r>
        <w:rPr>
          <w:rFonts w:hint="eastAsia"/>
        </w:rPr>
        <w:t>室内质控参考品应在建库环节加入，与临床样本一同参与建库及后续的全部实验流程。大批量自动化提取时应包含污染质控（即空白对照），每板或每批次实验需包含空白对照、阳性质控品及阴性质控品各一个，空白对照提取浓度应＜1</w:t>
      </w:r>
      <w:r>
        <w:t xml:space="preserve"> </w:t>
      </w:r>
      <w:r>
        <w:rPr>
          <w:rFonts w:hint="eastAsia"/>
        </w:rPr>
        <w:t>ng/μL，阴阳性质控品质量要求同4.3.1。</w:t>
      </w:r>
    </w:p>
    <w:p w14:paraId="1F976CC7">
      <w:pPr>
        <w:pStyle w:val="108"/>
        <w:spacing w:before="120" w:after="120"/>
      </w:pPr>
      <w:r>
        <w:rPr>
          <w:rFonts w:hint="eastAsia"/>
        </w:rPr>
        <w:t>测序质量要求</w:t>
      </w:r>
    </w:p>
    <w:p w14:paraId="0F34E271">
      <w:pPr>
        <w:pStyle w:val="59"/>
        <w:ind w:firstLine="420"/>
      </w:pPr>
      <w:r>
        <w:rPr>
          <w:rFonts w:hint="eastAsia"/>
        </w:rPr>
        <w:t>不同的测序平台有不同的合格阈值，不同平台可参考测序试剂盒或测序平台说明书，制定能保证分析成功率的测序数据合格指标，以保证测序质量和靶区覆盖深度。测序的Q30应不低于85%。</w:t>
      </w:r>
    </w:p>
    <w:p w14:paraId="7ADFBBD9">
      <w:pPr>
        <w:pStyle w:val="108"/>
        <w:spacing w:before="120" w:after="120"/>
      </w:pPr>
      <w:r>
        <w:rPr>
          <w:rFonts w:hint="eastAsia"/>
        </w:rPr>
        <w:t>信息分析质量要求</w:t>
      </w:r>
    </w:p>
    <w:p w14:paraId="7F40097B">
      <w:pPr>
        <w:pStyle w:val="59"/>
        <w:ind w:firstLine="420"/>
      </w:pPr>
      <w:r>
        <w:rPr>
          <w:rFonts w:hint="eastAsia"/>
        </w:rPr>
        <w:t>测序下机后的数据建议关注以下关键指标：平均测序深度、20×覆盖度、Q30和污染比例，这些指标的实测值应不低于各平台设置的最低要求且非胎儿样本性别应与送检信息一致。其中，目标区域的平均测序深度应根据检测策略对基因变异判定所需的数据深度的需求而定。</w:t>
      </w:r>
    </w:p>
    <w:p w14:paraId="743679E0">
      <w:pPr>
        <w:pStyle w:val="59"/>
        <w:ind w:firstLine="420"/>
      </w:pPr>
      <w:r>
        <w:rPr>
          <w:rFonts w:hint="eastAsia"/>
        </w:rPr>
        <w:t>其余指标的建议合格标准为：测序下机原始数据经过滤后，Q30应不低于85%，20×覆盖度应不低于97.5%，生信环节提示无污染且非胎儿样本性别与基本送检信息一致。</w:t>
      </w:r>
    </w:p>
    <w:p w14:paraId="68EE84ED">
      <w:pPr>
        <w:pStyle w:val="108"/>
        <w:spacing w:before="120" w:after="120"/>
      </w:pPr>
      <w:r>
        <w:rPr>
          <w:rFonts w:hint="eastAsia"/>
        </w:rPr>
        <w:t>遗传解读质量要求</w:t>
      </w:r>
    </w:p>
    <w:p w14:paraId="216E705C">
      <w:pPr>
        <w:pStyle w:val="168"/>
      </w:pPr>
      <w:r>
        <w:rPr>
          <w:rFonts w:hint="eastAsia"/>
        </w:rPr>
        <w:t>变异注释所选用的数据库应至少包括人群频率数据库、疾病数据库、表型数据库，以及预测结果数据库。所有数据库均需要定期更新，公共数据库应至少一年检查一次更新。（建议选用的数据库参见附录A。）</w:t>
      </w:r>
    </w:p>
    <w:p w14:paraId="24D9415B">
      <w:pPr>
        <w:pStyle w:val="168"/>
      </w:pPr>
      <w:r>
        <w:rPr>
          <w:rFonts w:hint="eastAsia"/>
        </w:rPr>
        <w:t>变异注释的信息需至少包括：变异基本信息（染色体坐标、合子状态、基因名称、转录本、HGVS命名等）、群体数据（该位点在正常人群和本地样本中的频率）、基因元件与功能影响、基因相关的疾病信息、疾病数据库收录情况、软件计算与预测结果等。</w:t>
      </w:r>
    </w:p>
    <w:p w14:paraId="3DAD01EC">
      <w:pPr>
        <w:pStyle w:val="168"/>
      </w:pPr>
      <w:r>
        <w:rPr>
          <w:rFonts w:hint="eastAsia"/>
        </w:rPr>
        <w:t>位点筛选主要考虑三要素：所涉及疾病的相关特异性表型与临床主诉吻合、符合疾病遗传模式，以及致病性达到报告筛选标准，解读参考信息参见附录A。</w:t>
      </w:r>
    </w:p>
    <w:p w14:paraId="312F879D">
      <w:pPr>
        <w:pStyle w:val="168"/>
      </w:pPr>
      <w:r>
        <w:rPr>
          <w:rFonts w:hint="eastAsia"/>
        </w:rPr>
        <w:t>针对不同的变异类型，各实验室应在临床大样本量验证数据的基础上，对拟报告位点建立起低质量位点判断阈值，以界定经筛选后的拟报告变异位点，哪些应进行额外的金标准方法学验证实验补充（如Sanger、qPCR、MLPA等）。低质量位点阈值示例参见附录A。</w:t>
      </w:r>
    </w:p>
    <w:p w14:paraId="0F14EDBA">
      <w:pPr>
        <w:pStyle w:val="107"/>
        <w:spacing w:before="240" w:after="240"/>
      </w:pPr>
      <w:bookmarkStart w:id="53" w:name="_Toc175839084"/>
      <w:bookmarkStart w:id="54" w:name="_Toc175922396"/>
      <w:r>
        <w:rPr>
          <w:rFonts w:hint="eastAsia"/>
        </w:rPr>
        <w:t>性能确认要求</w:t>
      </w:r>
      <w:bookmarkEnd w:id="53"/>
      <w:bookmarkEnd w:id="54"/>
    </w:p>
    <w:p w14:paraId="30F0B770">
      <w:pPr>
        <w:pStyle w:val="108"/>
        <w:spacing w:before="120" w:after="120"/>
      </w:pPr>
      <w:r>
        <w:rPr>
          <w:rFonts w:hint="eastAsia"/>
        </w:rPr>
        <w:t>性能确认时机</w:t>
      </w:r>
    </w:p>
    <w:p w14:paraId="1DBA0660">
      <w:pPr>
        <w:pStyle w:val="168"/>
      </w:pPr>
      <w:r>
        <w:rPr>
          <w:rFonts w:hint="eastAsia"/>
        </w:rPr>
        <w:t>实验室建立起cWES检测程序后，检测程序常规应用前应先进行性能确认。在此基础上，正常收样的检测实验室建议每年至少进行一次性能确认。</w:t>
      </w:r>
    </w:p>
    <w:p w14:paraId="04935DAE">
      <w:pPr>
        <w:pStyle w:val="168"/>
      </w:pPr>
      <w:r>
        <w:rPr>
          <w:rFonts w:hint="eastAsia"/>
        </w:rPr>
        <w:t>任何可能严重影响cWES检测程序性能的情况发生前，如发生试剂升级、试剂替换、实验流程变更、生信流程变更、解读流程变更及重要技术操作人员变更等情况，以及在出现重大技术性差错、重大不符合、客户反复投诉等情况下，应在检测程序重新启用前进行性能确认。</w:t>
      </w:r>
    </w:p>
    <w:p w14:paraId="01097896">
      <w:pPr>
        <w:pStyle w:val="108"/>
        <w:spacing w:before="120" w:after="120"/>
      </w:pPr>
      <w:r>
        <w:rPr>
          <w:rFonts w:hint="eastAsia"/>
        </w:rPr>
        <w:t>性能确认样本要求</w:t>
      </w:r>
    </w:p>
    <w:p w14:paraId="6363C5E4">
      <w:pPr>
        <w:pStyle w:val="68"/>
        <w:spacing w:before="120" w:after="120"/>
      </w:pPr>
      <w:r>
        <w:rPr>
          <w:rFonts w:hint="eastAsia"/>
        </w:rPr>
        <w:t>性能确认样本来源</w:t>
      </w:r>
    </w:p>
    <w:p w14:paraId="69336BEF">
      <w:pPr>
        <w:pStyle w:val="59"/>
        <w:ind w:firstLine="420"/>
      </w:pPr>
      <w:r>
        <w:rPr>
          <w:rFonts w:hint="eastAsia"/>
        </w:rPr>
        <w:t>应参照以下原则选择用于临床全外显子组测序性能确认的样本：</w:t>
      </w:r>
      <w:r>
        <w:t xml:space="preserve"> </w:t>
      </w:r>
    </w:p>
    <w:p w14:paraId="05ABACE6">
      <w:pPr>
        <w:pStyle w:val="177"/>
        <w:numPr>
          <w:ilvl w:val="0"/>
          <w:numId w:val="32"/>
        </w:numPr>
      </w:pPr>
      <w:r>
        <w:rPr>
          <w:rFonts w:hint="eastAsia"/>
        </w:rPr>
        <w:t>性能确认样本可使用过往临床样本或参考品。选择的临床样本应有可信的参比方法提供的位点数据，即使用金标准方法（如：使用Sanger验证SNV变异）、行业公认方法或经确认性能符合要求满足临床预期用途的方法（如：通过ISO</w:t>
      </w:r>
      <w:r>
        <w:t xml:space="preserve"> </w:t>
      </w:r>
      <w:r>
        <w:rPr>
          <w:rFonts w:hint="eastAsia"/>
        </w:rPr>
        <w:t>15189认可实验室使用的相同检测方法）检测过；</w:t>
      </w:r>
    </w:p>
    <w:p w14:paraId="2614B62B">
      <w:pPr>
        <w:pStyle w:val="177"/>
      </w:pPr>
      <w:r>
        <w:rPr>
          <w:rFonts w:hint="eastAsia"/>
        </w:rPr>
        <w:t>除了临床样本，性能确认还推荐使用位点准确可信的独立第三方参考品，即由与检测程序提供方或试剂盒制造商无关的第三方制造，独立开发，不受仪器或试剂制造商的影响的第三方参考物质。参考品应足够均匀和稳定，能证明测量系统处于统计控制下时，能提供期望的可信结果。</w:t>
      </w:r>
    </w:p>
    <w:p w14:paraId="039D5575">
      <w:pPr>
        <w:pStyle w:val="68"/>
        <w:spacing w:before="120" w:after="120"/>
      </w:pPr>
      <w:r>
        <w:rPr>
          <w:rFonts w:hint="eastAsia"/>
        </w:rPr>
        <w:t>性能确认样本种类</w:t>
      </w:r>
    </w:p>
    <w:p w14:paraId="6C82ED06">
      <w:pPr>
        <w:pStyle w:val="59"/>
        <w:ind w:firstLine="420"/>
      </w:pPr>
      <w:r>
        <w:rPr>
          <w:rFonts w:hint="eastAsia"/>
        </w:rPr>
        <w:t>用于临床全外显子组测序性能确认的样本应符合以下要求：</w:t>
      </w:r>
    </w:p>
    <w:p w14:paraId="45E42812">
      <w:pPr>
        <w:pStyle w:val="177"/>
        <w:numPr>
          <w:ilvl w:val="0"/>
          <w:numId w:val="33"/>
        </w:numPr>
      </w:pPr>
      <w:r>
        <w:rPr>
          <w:rFonts w:hint="eastAsia"/>
        </w:rPr>
        <w:t>性能确认样本应包含参考序列参考品、特定位点阴性及阳性参考品或临床明确诊断阳性样本。参考序列参考品需使用有公开参考序列信息的通用参考品（如NA12878和炎黄一号），或经多个二代测序平台交叉验证过，有可信外显子组数据可供参考比对的参考品；</w:t>
      </w:r>
    </w:p>
    <w:p w14:paraId="5CE207B7">
      <w:pPr>
        <w:pStyle w:val="177"/>
      </w:pPr>
      <w:r>
        <w:rPr>
          <w:rFonts w:hint="eastAsia"/>
        </w:rPr>
        <w:t>阳性参考品或临床明确诊断阳性样本选取时，变异类型应覆盖制造商说明书声明的检测范围内的全部变异类型，如SNV、InDel、线粒体变异、杂合性缺失（LOH）、短串联重复序列（STR）、外显子CNV、CNV及染色体非整倍体等。如为检测范围内未包含的变异类型，在选取阳性参考品时无需包含；</w:t>
      </w:r>
    </w:p>
    <w:p w14:paraId="664ED4C4">
      <w:pPr>
        <w:pStyle w:val="177"/>
      </w:pPr>
      <w:r>
        <w:rPr>
          <w:rFonts w:hint="eastAsia"/>
        </w:rPr>
        <w:t>特定位点阴性指挑选临床已知致病或疑似致病位点至少100个，选取经多个二代测序平台交叉验证或金标准方法验证过，在挑选出的位点上无致病变异的参考品或临床样本。挑选的已知位点应尽可能覆盖所有染色体，且应覆盖涉及疾病的不同遗传模式。</w:t>
      </w:r>
    </w:p>
    <w:p w14:paraId="79454282">
      <w:pPr>
        <w:pStyle w:val="183"/>
      </w:pPr>
      <w:r>
        <w:rPr>
          <w:rFonts w:hint="eastAsia"/>
        </w:rPr>
        <w:t>因cWES检测范围广，阳性参考品或阳性临床样本，同样可能检出其他致病或疑似致病位点，因此性能确认时仅关注经验证过的准确可信的阳性变异位点，对于其他检出位点，不予计入评估范围中。</w:t>
      </w:r>
    </w:p>
    <w:p w14:paraId="71157739">
      <w:pPr>
        <w:pStyle w:val="183"/>
      </w:pPr>
      <w:r>
        <w:rPr>
          <w:rFonts w:hint="eastAsia"/>
        </w:rPr>
        <w:t>因cWES检测范围广，表型正常人群同样会携带多个致病或疑似致病的遗传病变异位点，因此cWES检测中并无传统意义上的“阴性”样本。此处的特定位点阴性参考品或临床样本，特指挑选出的位点经验证过均为阴性，性能确认时仅关注挑选出的位点，对于其他检出的致病或疑似致病位点，不予计入评估范围中。</w:t>
      </w:r>
    </w:p>
    <w:p w14:paraId="7E71455F">
      <w:pPr>
        <w:pStyle w:val="108"/>
        <w:spacing w:before="120" w:after="120"/>
      </w:pPr>
      <w:r>
        <w:rPr>
          <w:rFonts w:hint="eastAsia"/>
        </w:rPr>
        <w:t>性能确认评估要求</w:t>
      </w:r>
    </w:p>
    <w:p w14:paraId="5A7F5A73">
      <w:pPr>
        <w:pStyle w:val="68"/>
        <w:spacing w:before="120" w:after="120"/>
      </w:pPr>
      <w:r>
        <w:rPr>
          <w:rFonts w:hint="eastAsia"/>
        </w:rPr>
        <w:t>准确性评估</w:t>
      </w:r>
    </w:p>
    <w:p w14:paraId="62140E01">
      <w:pPr>
        <w:pStyle w:val="59"/>
        <w:ind w:firstLine="420"/>
      </w:pPr>
      <w:r>
        <w:rPr>
          <w:rFonts w:hint="eastAsia"/>
        </w:rPr>
        <w:t>选取参考序列参考品至少1种、特定位点阴性参考品或临床样本至少5种、阳性参考品或临床样本至少每种变异类型各1种，且阳性参考品或临床样本总数不少于10种（其余要求参见5.2）。性能确认样本使用待确认的检测程序进行检测，准确性评估合格要求为：</w:t>
      </w:r>
    </w:p>
    <w:p w14:paraId="675B59C7">
      <w:pPr>
        <w:pStyle w:val="177"/>
        <w:numPr>
          <w:ilvl w:val="0"/>
          <w:numId w:val="34"/>
        </w:numPr>
      </w:pPr>
      <w:r>
        <w:rPr>
          <w:rFonts w:hint="eastAsia"/>
        </w:rPr>
        <w:t>各实验环节均需达到检测程序的质控指标；</w:t>
      </w:r>
    </w:p>
    <w:p w14:paraId="4A3DBC40">
      <w:pPr>
        <w:pStyle w:val="177"/>
      </w:pPr>
      <w:r>
        <w:rPr>
          <w:rFonts w:hint="eastAsia"/>
        </w:rPr>
        <w:t>参考序列参考品：SNV灵敏度≥98%，SNV精确率≥95%；InDel灵敏度≥84%，InDel精确率≥74%；</w:t>
      </w:r>
    </w:p>
    <w:p w14:paraId="471E2135">
      <w:pPr>
        <w:pStyle w:val="177"/>
      </w:pPr>
      <w:r>
        <w:rPr>
          <w:rFonts w:hint="eastAsia"/>
        </w:rPr>
        <w:t>阳性参考品的阳性变异全部检出，阳性变异为制造商说明书声明的检测范围内的变异类型，如SNV、InDel、线粒体变异、杂合性缺失（LOH）、短串联重复序列（STR）、外显子CNV、CNV及染色体非整倍体等；</w:t>
      </w:r>
    </w:p>
    <w:p w14:paraId="62BDE13D">
      <w:pPr>
        <w:pStyle w:val="177"/>
      </w:pPr>
      <w:r>
        <w:rPr>
          <w:rFonts w:hint="eastAsia"/>
        </w:rPr>
        <w:t>特定位点阴性参考品或临床样本，经验证过的位点上全部无阳性变异检出。</w:t>
      </w:r>
    </w:p>
    <w:p w14:paraId="2976DDD8">
      <w:pPr>
        <w:pStyle w:val="68"/>
        <w:spacing w:before="120" w:after="120"/>
      </w:pPr>
      <w:r>
        <w:rPr>
          <w:rFonts w:hint="eastAsia"/>
        </w:rPr>
        <w:t>重复性评估（批内稳定性）</w:t>
      </w:r>
    </w:p>
    <w:p w14:paraId="710E82DE">
      <w:pPr>
        <w:pStyle w:val="59"/>
        <w:ind w:firstLine="420"/>
      </w:pPr>
      <w:r>
        <w:rPr>
          <w:rFonts w:hint="eastAsia"/>
        </w:rPr>
        <w:t>选取参考序列参考品至少1种、阳性参考品或临床样本至少2种，批次内重复建库三次，合格要求为：</w:t>
      </w:r>
    </w:p>
    <w:p w14:paraId="6B549D9C">
      <w:pPr>
        <w:pStyle w:val="177"/>
        <w:numPr>
          <w:ilvl w:val="0"/>
          <w:numId w:val="35"/>
        </w:numPr>
      </w:pPr>
      <w:r>
        <w:rPr>
          <w:rFonts w:hint="eastAsia"/>
        </w:rPr>
        <w:t>各实验环节均应达到检测程序的质控指标；</w:t>
      </w:r>
    </w:p>
    <w:p w14:paraId="50296489">
      <w:pPr>
        <w:pStyle w:val="177"/>
        <w:numPr>
          <w:ilvl w:val="0"/>
          <w:numId w:val="35"/>
        </w:numPr>
      </w:pPr>
      <w:r>
        <w:rPr>
          <w:rFonts w:hint="eastAsia"/>
        </w:rPr>
        <w:t>将所有SNV及InDel检出结果按图1汇总，计算一致性比值作为重复性评价参数，该参数不得低于90%。</w:t>
      </w:r>
    </w:p>
    <w:p w14:paraId="5F02B708">
      <w:pPr>
        <w:pStyle w:val="68"/>
        <w:spacing w:before="120" w:after="120"/>
      </w:pPr>
      <w:r>
        <w:rPr>
          <w:rFonts w:hint="eastAsia"/>
        </w:rPr>
        <w:t>重现性评估（批间稳定性）</w:t>
      </w:r>
    </w:p>
    <w:p w14:paraId="1C61DB97">
      <w:pPr>
        <w:pStyle w:val="59"/>
        <w:ind w:firstLine="420"/>
      </w:pPr>
      <w:r>
        <w:rPr>
          <w:rFonts w:hint="eastAsia"/>
        </w:rPr>
        <w:t>选取参考序列参考品至少1种、阳性参考品或临床样本至少2种，分三个批次进行重复建库，合格要求为：</w:t>
      </w:r>
    </w:p>
    <w:p w14:paraId="799CD293">
      <w:pPr>
        <w:pStyle w:val="177"/>
        <w:numPr>
          <w:ilvl w:val="0"/>
          <w:numId w:val="36"/>
        </w:numPr>
      </w:pPr>
      <w:r>
        <w:rPr>
          <w:rFonts w:hint="eastAsia"/>
        </w:rPr>
        <w:t>各实验环节均应达到检测程序的质控指标；</w:t>
      </w:r>
    </w:p>
    <w:p w14:paraId="063490E4">
      <w:pPr>
        <w:pStyle w:val="177"/>
      </w:pPr>
      <w:r>
        <w:rPr>
          <w:rFonts w:hint="eastAsia"/>
        </w:rPr>
        <w:t>将所有SNV及InDel检出结果按图1汇总，计算一致性比值作为重现性评价参数，该参数不得低于90%。</w:t>
      </w:r>
    </w:p>
    <w:p w14:paraId="29A72C48">
      <w:pPr>
        <w:pStyle w:val="59"/>
        <w:ind w:firstLine="420"/>
        <w:jc w:val="center"/>
      </w:pPr>
      <w:r>
        <w:drawing>
          <wp:inline distT="0" distB="0" distL="0" distR="0">
            <wp:extent cx="1134110" cy="1127760"/>
            <wp:effectExtent l="0" t="0" r="0" b="0"/>
            <wp:docPr id="40568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8618"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34110" cy="1127760"/>
                    </a:xfrm>
                    <a:prstGeom prst="rect">
                      <a:avLst/>
                    </a:prstGeom>
                    <a:noFill/>
                  </pic:spPr>
                </pic:pic>
              </a:graphicData>
            </a:graphic>
          </wp:inline>
        </w:drawing>
      </w:r>
    </w:p>
    <w:p w14:paraId="0D5A9B81">
      <w:pPr>
        <w:pStyle w:val="117"/>
        <w:spacing w:before="120" w:after="120"/>
      </w:pPr>
      <w:r>
        <w:rPr>
          <w:rFonts w:hint="eastAsia"/>
        </w:rPr>
        <w:t>一致性比值验证</w:t>
      </w:r>
    </w:p>
    <w:p w14:paraId="680C5311">
      <w:pPr>
        <w:pStyle w:val="104"/>
      </w:pPr>
      <w:r>
        <w:rPr>
          <w:rFonts w:hint="eastAsia"/>
        </w:rPr>
        <w:t>R1、R2和R3分别为同一参考品的3个重复检出的阳性变异位点数。一致性比值=g/(a+b+c+d+e+f+g) ×100%，即交集数除以并集数。</w:t>
      </w:r>
    </w:p>
    <w:p w14:paraId="3BDB9DA6">
      <w:pPr>
        <w:pStyle w:val="68"/>
        <w:spacing w:before="120" w:after="120"/>
      </w:pPr>
      <w:r>
        <w:rPr>
          <w:rFonts w:hint="eastAsia"/>
        </w:rPr>
        <w:t>结果判定</w:t>
      </w:r>
    </w:p>
    <w:p w14:paraId="733BC769">
      <w:pPr>
        <w:pStyle w:val="59"/>
        <w:ind w:firstLine="420"/>
      </w:pPr>
      <w:r>
        <w:rPr>
          <w:rFonts w:hint="eastAsia"/>
        </w:rPr>
        <w:t>准确性评估、重复性评估及重现性评估均合格，则该实验室的cWES检测流程及其程序可被认定为性能合格。</w:t>
      </w:r>
    </w:p>
    <w:p w14:paraId="575E0CBE">
      <w:pPr>
        <w:pStyle w:val="68"/>
        <w:spacing w:before="120" w:after="120"/>
      </w:pPr>
      <w:r>
        <w:rPr>
          <w:rFonts w:hint="eastAsia"/>
        </w:rPr>
        <w:t>不合格措施</w:t>
      </w:r>
    </w:p>
    <w:p w14:paraId="366B6ACF">
      <w:pPr>
        <w:pStyle w:val="59"/>
        <w:ind w:firstLine="420"/>
      </w:pPr>
      <w:r>
        <w:rPr>
          <w:rFonts w:hint="eastAsia"/>
        </w:rPr>
        <w:t>如性能确认不合格，应排查实验及分析流程，修正检测程序后重新进行性能确认。</w:t>
      </w:r>
    </w:p>
    <w:p w14:paraId="691CD7FC">
      <w:pPr>
        <w:pStyle w:val="107"/>
        <w:spacing w:before="240" w:after="240"/>
      </w:pPr>
      <w:bookmarkStart w:id="55" w:name="_Toc175922397"/>
      <w:bookmarkStart w:id="56" w:name="_Toc175839085"/>
      <w:r>
        <w:rPr>
          <w:rFonts w:hint="eastAsia"/>
        </w:rPr>
        <w:t>室内质控要求</w:t>
      </w:r>
      <w:bookmarkEnd w:id="55"/>
      <w:bookmarkEnd w:id="56"/>
    </w:p>
    <w:p w14:paraId="1296C713">
      <w:pPr>
        <w:pStyle w:val="108"/>
        <w:spacing w:before="120" w:after="120"/>
      </w:pPr>
      <w:r>
        <w:rPr>
          <w:rFonts w:hint="eastAsia"/>
        </w:rPr>
        <w:t>室内质控时机</w:t>
      </w:r>
    </w:p>
    <w:p w14:paraId="3D5FE64A">
      <w:pPr>
        <w:pStyle w:val="59"/>
        <w:ind w:firstLine="420"/>
      </w:pPr>
      <w:r>
        <w:rPr>
          <w:rFonts w:hint="eastAsia"/>
        </w:rPr>
        <w:t>正常开展临床全外显子组测序检测的实验室，实验室应建立室内质控体系，实时监控检测程序的稳定性，确保检测流程稳定、检测结果真实可信。室内质控推荐使用第三方参考品，并应在每一批临床样本检测中加入，应进行文库构建环节的监控，并且该室内质控品应与临床样本一同进行后续的全流程检测实验及分析。</w:t>
      </w:r>
    </w:p>
    <w:p w14:paraId="23127C2D">
      <w:pPr>
        <w:pStyle w:val="108"/>
        <w:spacing w:before="120" w:after="120"/>
      </w:pPr>
      <w:r>
        <w:rPr>
          <w:rFonts w:hint="eastAsia"/>
        </w:rPr>
        <w:t>室内质控品选择</w:t>
      </w:r>
    </w:p>
    <w:p w14:paraId="17329547">
      <w:pPr>
        <w:pStyle w:val="59"/>
        <w:ind w:firstLine="420"/>
      </w:pPr>
      <w:r>
        <w:rPr>
          <w:rFonts w:hint="eastAsia"/>
        </w:rPr>
        <w:t>室内质控品应至少包含一种参考序列参考品及一种阳性变异参考品。阳性变异参考品建议每半年至一年进行一次更换，尽量覆盖不同的变异类型，其余要求同5.2.2性能确认样本种类。</w:t>
      </w:r>
    </w:p>
    <w:p w14:paraId="0A9590D9">
      <w:pPr>
        <w:pStyle w:val="108"/>
        <w:spacing w:before="120" w:after="120"/>
      </w:pPr>
      <w:r>
        <w:rPr>
          <w:rFonts w:hint="eastAsia"/>
        </w:rPr>
        <w:t>室内质控评估要求</w:t>
      </w:r>
    </w:p>
    <w:p w14:paraId="26E29652">
      <w:pPr>
        <w:pStyle w:val="68"/>
        <w:spacing w:before="120" w:after="120"/>
      </w:pPr>
      <w:r>
        <w:rPr>
          <w:rFonts w:hint="eastAsia"/>
        </w:rPr>
        <w:t>结果判定</w:t>
      </w:r>
    </w:p>
    <w:p w14:paraId="449F15FD">
      <w:pPr>
        <w:pStyle w:val="59"/>
        <w:ind w:firstLine="420"/>
      </w:pPr>
      <w:r>
        <w:rPr>
          <w:rFonts w:hint="eastAsia"/>
        </w:rPr>
        <w:t>室内质控参考品需与临床样本一并进行文库构建及后续全部实验流程。合格要求为：</w:t>
      </w:r>
    </w:p>
    <w:p w14:paraId="75790C8F">
      <w:pPr>
        <w:pStyle w:val="177"/>
        <w:numPr>
          <w:ilvl w:val="0"/>
          <w:numId w:val="37"/>
        </w:numPr>
      </w:pPr>
      <w:r>
        <w:rPr>
          <w:rFonts w:hint="eastAsia"/>
        </w:rPr>
        <w:t>各实验环节均应达到检测程序的质控指标；</w:t>
      </w:r>
    </w:p>
    <w:p w14:paraId="16ED2FD8">
      <w:pPr>
        <w:pStyle w:val="177"/>
      </w:pPr>
      <w:r>
        <w:rPr>
          <w:rFonts w:hint="eastAsia"/>
        </w:rPr>
        <w:t>参考序列参考品：SNV灵敏度≥98%，SNV精确率≥95%；InDel灵敏度≥84%，InDel精确率≥74%；</w:t>
      </w:r>
    </w:p>
    <w:p w14:paraId="5DAD9830">
      <w:pPr>
        <w:pStyle w:val="177"/>
      </w:pPr>
      <w:r>
        <w:rPr>
          <w:rFonts w:hint="eastAsia"/>
        </w:rPr>
        <w:t>阳性参考品的阳性位点全部检出。</w:t>
      </w:r>
    </w:p>
    <w:p w14:paraId="67B43F74">
      <w:pPr>
        <w:pStyle w:val="68"/>
        <w:spacing w:before="120" w:after="120"/>
      </w:pPr>
      <w:r>
        <w:rPr>
          <w:rFonts w:hint="eastAsia"/>
        </w:rPr>
        <w:t>不合格措施</w:t>
      </w:r>
    </w:p>
    <w:p w14:paraId="51ED513A">
      <w:pPr>
        <w:pStyle w:val="59"/>
        <w:ind w:firstLine="420"/>
      </w:pPr>
      <w:r>
        <w:rPr>
          <w:rFonts w:hint="eastAsia"/>
        </w:rPr>
        <w:t>如室内质控不合格，应排查实验及分析流程，修正检测程序后重新实验，该批次临床样本结果以室内质控合格批次的重测结果为准。</w:t>
      </w:r>
    </w:p>
    <w:p w14:paraId="18520998">
      <w:pPr>
        <w:pStyle w:val="59"/>
        <w:ind w:firstLine="420"/>
      </w:pPr>
    </w:p>
    <w:p w14:paraId="61BDF0D7">
      <w:pPr>
        <w:pStyle w:val="59"/>
        <w:ind w:firstLine="420"/>
        <w:sectPr>
          <w:pgSz w:w="11906" w:h="16838"/>
          <w:pgMar w:top="1928" w:right="1134" w:bottom="1134" w:left="1134" w:header="1418" w:footer="1134" w:gutter="284"/>
          <w:pgNumType w:start="1"/>
          <w:cols w:space="425" w:num="1"/>
          <w:formProt w:val="0"/>
          <w:docGrid w:linePitch="312" w:charSpace="0"/>
        </w:sectPr>
      </w:pPr>
    </w:p>
    <w:bookmarkEnd w:id="23"/>
    <w:p w14:paraId="31761F5D">
      <w:pPr>
        <w:pStyle w:val="201"/>
        <w:rPr>
          <w:vanish w:val="0"/>
        </w:rPr>
      </w:pPr>
      <w:bookmarkStart w:id="57" w:name="BookMark5"/>
    </w:p>
    <w:p w14:paraId="2C2E6228">
      <w:pPr>
        <w:pStyle w:val="202"/>
        <w:rPr>
          <w:vanish w:val="0"/>
        </w:rPr>
      </w:pPr>
    </w:p>
    <w:p w14:paraId="67C6A4C7">
      <w:pPr>
        <w:pStyle w:val="79"/>
        <w:spacing w:after="120"/>
      </w:pPr>
      <w:r>
        <w:br w:type="textWrapping"/>
      </w:r>
      <w:bookmarkStart w:id="58" w:name="_Toc175839086"/>
      <w:bookmarkStart w:id="59" w:name="_Toc175922398"/>
      <w:r>
        <w:rPr>
          <w:rFonts w:hint="eastAsia"/>
        </w:rPr>
        <w:t>（资料性）</w:t>
      </w:r>
      <w:r>
        <w:br w:type="textWrapping"/>
      </w:r>
      <w:bookmarkEnd w:id="58"/>
      <w:r>
        <w:rPr>
          <w:rFonts w:hint="eastAsia"/>
        </w:rPr>
        <w:t>临床全外显子组测序实验相关建议</w:t>
      </w:r>
      <w:bookmarkEnd w:id="59"/>
    </w:p>
    <w:p w14:paraId="0768DC0E">
      <w:pPr>
        <w:pStyle w:val="81"/>
        <w:spacing w:before="120" w:after="120"/>
      </w:pPr>
      <w:r>
        <w:rPr>
          <w:rFonts w:hint="eastAsia"/>
        </w:rPr>
        <w:t>cWES建议采样量</w:t>
      </w:r>
    </w:p>
    <w:p w14:paraId="5CCEB38A">
      <w:pPr>
        <w:pStyle w:val="59"/>
        <w:ind w:firstLine="420"/>
      </w:pPr>
      <w:r>
        <w:rPr>
          <w:rFonts w:hint="eastAsia"/>
        </w:rPr>
        <w:t>以300</w:t>
      </w:r>
      <w:r>
        <w:t xml:space="preserve"> </w:t>
      </w:r>
      <w:r>
        <w:rPr>
          <w:rFonts w:hint="eastAsia"/>
        </w:rPr>
        <w:t>ng的建库投入量为例，建议采样量要求如下：外周血≥2</w:t>
      </w:r>
      <w:r>
        <w:t xml:space="preserve"> </w:t>
      </w:r>
      <w:r>
        <w:rPr>
          <w:rFonts w:hint="eastAsia"/>
        </w:rPr>
        <w:t>mL，如为婴幼儿取外周血或脐带血≥1 mL；流产组织取≥100</w:t>
      </w:r>
      <w:r>
        <w:t xml:space="preserve"> </w:t>
      </w:r>
      <w:r>
        <w:rPr>
          <w:rFonts w:hint="eastAsia"/>
        </w:rPr>
        <w:t>mg的胚胎、胎儿组织或绒毛；羊水取≥10</w:t>
      </w:r>
      <w:r>
        <w:t xml:space="preserve"> </w:t>
      </w:r>
      <w:r>
        <w:rPr>
          <w:rFonts w:hint="eastAsia"/>
        </w:rPr>
        <w:t>mL；基因组DNA总量≥1</w:t>
      </w:r>
      <w:r>
        <w:t xml:space="preserve"> </w:t>
      </w:r>
      <w:r>
        <w:rPr>
          <w:rFonts w:hint="eastAsia"/>
        </w:rPr>
        <w:t>µg；口腔拭子＞4支；干血斑＞3个，单个直径＞1</w:t>
      </w:r>
      <w:r>
        <w:t xml:space="preserve"> </w:t>
      </w:r>
      <w:r>
        <w:rPr>
          <w:rFonts w:hint="eastAsia"/>
        </w:rPr>
        <w:t>cm。</w:t>
      </w:r>
    </w:p>
    <w:p w14:paraId="00CAA6A7">
      <w:pPr>
        <w:pStyle w:val="81"/>
        <w:spacing w:before="120" w:after="120"/>
      </w:pPr>
      <w:r>
        <w:rPr>
          <w:rFonts w:hint="eastAsia"/>
        </w:rPr>
        <w:t>变异注释数据库及注释信息选择</w:t>
      </w:r>
    </w:p>
    <w:p w14:paraId="79680F42">
      <w:pPr>
        <w:pStyle w:val="59"/>
        <w:ind w:firstLine="420"/>
      </w:pPr>
      <w:r>
        <w:rPr>
          <w:rFonts w:hint="eastAsia"/>
        </w:rPr>
        <w:t>变异注释所选用的数据库应至少包括人群频率数据库、疾病数据库、表型数据库，以及预测结果数据库。染色体坐标建议使用hg19参考基因组，转录本建议使用MANE转录本。人群频率数据库应包括常见的公用数据库，如千人基因组、dbSNP、gnomAD等，建议包含区域细分频率库（如ExAC东亚数据库East Asian）以及实验室基于自身样本构建的本地频率数据库。疾病数据库，应至少包括ACMG指南推荐的ClinVar和HGMD。表型数据库建议使用OMIM。预测结果数据库建议使用dbNSFP，建议使用Revel值综合反映预测结果。</w:t>
      </w:r>
    </w:p>
    <w:p w14:paraId="281E58D5">
      <w:pPr>
        <w:pStyle w:val="81"/>
        <w:spacing w:before="120" w:after="120"/>
      </w:pPr>
      <w:r>
        <w:rPr>
          <w:rFonts w:hint="eastAsia"/>
        </w:rPr>
        <w:t>致病性解读参考信息</w:t>
      </w:r>
    </w:p>
    <w:p w14:paraId="2F429A27">
      <w:pPr>
        <w:pStyle w:val="59"/>
        <w:ind w:firstLine="420"/>
      </w:pPr>
      <w:r>
        <w:rPr>
          <w:rFonts w:hint="eastAsia"/>
        </w:rPr>
        <w:t>致病性解读主要参考ACMG变异解读指南、ClinGen序列变异解读工作组和英国临床基因组科学学会等对该指南细化的规则，以及变异位点相关文献。</w:t>
      </w:r>
    </w:p>
    <w:p w14:paraId="29209B8B">
      <w:pPr>
        <w:pStyle w:val="81"/>
        <w:spacing w:before="120" w:after="120"/>
      </w:pPr>
      <w:r>
        <w:rPr>
          <w:rFonts w:hint="eastAsia"/>
        </w:rPr>
        <w:t>低质量位点阈值</w:t>
      </w:r>
    </w:p>
    <w:p w14:paraId="7C850BD3">
      <w:pPr>
        <w:pStyle w:val="59"/>
        <w:ind w:firstLine="420"/>
      </w:pPr>
      <w:r>
        <w:rPr>
          <w:rFonts w:hint="eastAsia"/>
        </w:rPr>
        <w:t>不同测序平台、不同测序深度下，低质量位点阈值存在差异，各实验室应在临床大样本量验证数据的基础上，对拟报告位点建立起低质量位点判断阈值，以下为低质量位点阈值的示例：</w:t>
      </w:r>
    </w:p>
    <w:p w14:paraId="1935FBAC">
      <w:pPr>
        <w:pStyle w:val="177"/>
        <w:numPr>
          <w:ilvl w:val="0"/>
          <w:numId w:val="38"/>
        </w:numPr>
      </w:pPr>
      <w:r>
        <w:rPr>
          <w:rFonts w:hint="eastAsia"/>
        </w:rPr>
        <w:t>基于MGI测序平台，在200×测序深度下的低质量位点建议阈值为：SNV位点测序深度＜40×或SNV变异率＜40%；InDel位点测序深度＜60×或InDel变异率＜45%；纯合子或半合子位点测序深度＜40×或变异率＜85%；</w:t>
      </w:r>
    </w:p>
    <w:p w14:paraId="7C659661">
      <w:pPr>
        <w:pStyle w:val="177"/>
      </w:pPr>
      <w:r>
        <w:rPr>
          <w:rFonts w:hint="eastAsia"/>
        </w:rPr>
        <w:t>基于Illumina测序平台，在60×测序深度下的低质量位点建议阈值为：位点突变率＜35%或突变深度＜10×且GQ值(genotype quality)＜20；纯合子或半合子位点突变率＜85%或突变深度＜10×且GQ值(genotype quality)＜20。</w:t>
      </w:r>
    </w:p>
    <w:bookmarkEnd w:id="57"/>
    <w:p w14:paraId="0D661D14">
      <w:pPr>
        <w:pStyle w:val="59"/>
        <w:ind w:firstLine="0" w:firstLineChars="0"/>
        <w:jc w:val="center"/>
      </w:pPr>
      <w:bookmarkStart w:id="60" w:name="BookMark8"/>
      <w:r>
        <w:drawing>
          <wp:inline distT="0" distB="0" distL="0" distR="0">
            <wp:extent cx="1485900" cy="317500"/>
            <wp:effectExtent l="0" t="0" r="0" b="6350"/>
            <wp:docPr id="1528273281" name="Picture 2"/>
            <wp:cNvGraphicFramePr/>
            <a:graphic xmlns:a="http://schemas.openxmlformats.org/drawingml/2006/main">
              <a:graphicData uri="http://schemas.openxmlformats.org/drawingml/2006/picture">
                <pic:pic xmlns:pic="http://schemas.openxmlformats.org/drawingml/2006/picture">
                  <pic:nvPicPr>
                    <pic:cNvPr id="1528273281"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CEBD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28351">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5BA8E">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F550">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7AF14">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BCD2F">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7B7AA">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CBD5B">
    <w:pPr>
      <w:pStyle w:val="64"/>
    </w:pPr>
    <w:r>
      <w:fldChar w:fldCharType="begin"/>
    </w:r>
    <w:r>
      <w:instrText xml:space="preserve"> STYLEREF  标准文件_文件编号  \* MERGEFORMAT </w:instrText>
    </w:r>
    <w:r>
      <w:fldChar w:fldCharType="separate"/>
    </w:r>
    <w:r>
      <w:t>T/SZAS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BF446">
    <w:pPr>
      <w:pStyle w:val="19"/>
      <w:jc w:val="right"/>
    </w:pPr>
    <w:r>
      <w:fldChar w:fldCharType="begin"/>
    </w:r>
    <w:r>
      <w:instrText xml:space="preserve"> STYLEREF  标准文件_文件编号  \* MERGEFORMAT </w:instrText>
    </w:r>
    <w:r>
      <w:fldChar w:fldCharType="separate"/>
    </w:r>
    <w:r>
      <w:t>T/SZAS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MTUxZDRmNzU0MTM2MTMwNjhiMzUwOGEzMjIyZDUifQ=="/>
  </w:docVars>
  <w:rsids>
    <w:rsidRoot w:val="00136D0C"/>
    <w:rsid w:val="0000040A"/>
    <w:rsid w:val="00000A94"/>
    <w:rsid w:val="00001972"/>
    <w:rsid w:val="00001D9A"/>
    <w:rsid w:val="000049E7"/>
    <w:rsid w:val="00007B3A"/>
    <w:rsid w:val="000107E0"/>
    <w:rsid w:val="00011FDE"/>
    <w:rsid w:val="00012FFD"/>
    <w:rsid w:val="00014162"/>
    <w:rsid w:val="00014340"/>
    <w:rsid w:val="00016A9C"/>
    <w:rsid w:val="00022184"/>
    <w:rsid w:val="00022762"/>
    <w:rsid w:val="000238E0"/>
    <w:rsid w:val="0002481E"/>
    <w:rsid w:val="000249DB"/>
    <w:rsid w:val="00025757"/>
    <w:rsid w:val="0002595E"/>
    <w:rsid w:val="000303C3"/>
    <w:rsid w:val="000331D3"/>
    <w:rsid w:val="000346A5"/>
    <w:rsid w:val="000359C3"/>
    <w:rsid w:val="00035A7D"/>
    <w:rsid w:val="000365ED"/>
    <w:rsid w:val="000404F1"/>
    <w:rsid w:val="0004249A"/>
    <w:rsid w:val="00043282"/>
    <w:rsid w:val="00044286"/>
    <w:rsid w:val="0004570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4708"/>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926"/>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4DB4"/>
    <w:rsid w:val="00113B1E"/>
    <w:rsid w:val="0011711C"/>
    <w:rsid w:val="00124E4F"/>
    <w:rsid w:val="001260B7"/>
    <w:rsid w:val="001265CB"/>
    <w:rsid w:val="001321C6"/>
    <w:rsid w:val="001325C4"/>
    <w:rsid w:val="00133010"/>
    <w:rsid w:val="001338EE"/>
    <w:rsid w:val="00133AAE"/>
    <w:rsid w:val="00135323"/>
    <w:rsid w:val="001356C4"/>
    <w:rsid w:val="00136D0C"/>
    <w:rsid w:val="00137565"/>
    <w:rsid w:val="00141114"/>
    <w:rsid w:val="00142969"/>
    <w:rsid w:val="0014308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251"/>
    <w:rsid w:val="001C42F7"/>
    <w:rsid w:val="001C49E5"/>
    <w:rsid w:val="001C680C"/>
    <w:rsid w:val="001C7FEA"/>
    <w:rsid w:val="001D0499"/>
    <w:rsid w:val="001D0BBE"/>
    <w:rsid w:val="001D0ED4"/>
    <w:rsid w:val="001D212F"/>
    <w:rsid w:val="001D29D7"/>
    <w:rsid w:val="001D2DE7"/>
    <w:rsid w:val="001D411C"/>
    <w:rsid w:val="001E03FE"/>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58"/>
    <w:rsid w:val="00202AA4"/>
    <w:rsid w:val="002031F7"/>
    <w:rsid w:val="002040E6"/>
    <w:rsid w:val="0020527B"/>
    <w:rsid w:val="00205F2C"/>
    <w:rsid w:val="00210B15"/>
    <w:rsid w:val="002142EA"/>
    <w:rsid w:val="00215ADD"/>
    <w:rsid w:val="00220165"/>
    <w:rsid w:val="002204BB"/>
    <w:rsid w:val="00221B79"/>
    <w:rsid w:val="00221C6B"/>
    <w:rsid w:val="00222B1D"/>
    <w:rsid w:val="002253A1"/>
    <w:rsid w:val="00225CF8"/>
    <w:rsid w:val="0022794E"/>
    <w:rsid w:val="00233D64"/>
    <w:rsid w:val="0023482A"/>
    <w:rsid w:val="002359CB"/>
    <w:rsid w:val="00243540"/>
    <w:rsid w:val="0024497B"/>
    <w:rsid w:val="00244DED"/>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270"/>
    <w:rsid w:val="002A5977"/>
    <w:rsid w:val="002A5A13"/>
    <w:rsid w:val="002A67EF"/>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6F68"/>
    <w:rsid w:val="002D79AC"/>
    <w:rsid w:val="002E039D"/>
    <w:rsid w:val="002E334E"/>
    <w:rsid w:val="002E4D5A"/>
    <w:rsid w:val="002E6326"/>
    <w:rsid w:val="002E7C6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025C"/>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678D"/>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BDA"/>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3408"/>
    <w:rsid w:val="003E49F6"/>
    <w:rsid w:val="003E660F"/>
    <w:rsid w:val="003F0841"/>
    <w:rsid w:val="003F23D3"/>
    <w:rsid w:val="003F2EAC"/>
    <w:rsid w:val="003F3F08"/>
    <w:rsid w:val="003F49F1"/>
    <w:rsid w:val="003F5E73"/>
    <w:rsid w:val="003F6272"/>
    <w:rsid w:val="00400E72"/>
    <w:rsid w:val="00401400"/>
    <w:rsid w:val="00404869"/>
    <w:rsid w:val="00404B42"/>
    <w:rsid w:val="00405884"/>
    <w:rsid w:val="00407D39"/>
    <w:rsid w:val="0041348B"/>
    <w:rsid w:val="0041477A"/>
    <w:rsid w:val="004167A3"/>
    <w:rsid w:val="00432DAA"/>
    <w:rsid w:val="00434305"/>
    <w:rsid w:val="00435DF7"/>
    <w:rsid w:val="0043741A"/>
    <w:rsid w:val="0044083F"/>
    <w:rsid w:val="00441AE7"/>
    <w:rsid w:val="00445574"/>
    <w:rsid w:val="004467FB"/>
    <w:rsid w:val="00452D6B"/>
    <w:rsid w:val="00454019"/>
    <w:rsid w:val="00454484"/>
    <w:rsid w:val="0045517B"/>
    <w:rsid w:val="00463B77"/>
    <w:rsid w:val="00463C7B"/>
    <w:rsid w:val="004644A6"/>
    <w:rsid w:val="004659BD"/>
    <w:rsid w:val="0047041A"/>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340"/>
    <w:rsid w:val="004D4406"/>
    <w:rsid w:val="004D66AE"/>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F3E"/>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7DC"/>
    <w:rsid w:val="0053585F"/>
    <w:rsid w:val="00535EC4"/>
    <w:rsid w:val="00535ED9"/>
    <w:rsid w:val="0053692B"/>
    <w:rsid w:val="00541853"/>
    <w:rsid w:val="00543BDA"/>
    <w:rsid w:val="005441CC"/>
    <w:rsid w:val="005479DA"/>
    <w:rsid w:val="00547BCC"/>
    <w:rsid w:val="0055013B"/>
    <w:rsid w:val="00551882"/>
    <w:rsid w:val="00551F6F"/>
    <w:rsid w:val="00555044"/>
    <w:rsid w:val="00561475"/>
    <w:rsid w:val="00562308"/>
    <w:rsid w:val="0056487B"/>
    <w:rsid w:val="00564FB9"/>
    <w:rsid w:val="00565D5E"/>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698A"/>
    <w:rsid w:val="005E7881"/>
    <w:rsid w:val="005E78E0"/>
    <w:rsid w:val="005F0D9C"/>
    <w:rsid w:val="005F284E"/>
    <w:rsid w:val="006015CE"/>
    <w:rsid w:val="00604784"/>
    <w:rsid w:val="00606419"/>
    <w:rsid w:val="00607D29"/>
    <w:rsid w:val="00612952"/>
    <w:rsid w:val="00612F09"/>
    <w:rsid w:val="00614CC1"/>
    <w:rsid w:val="00615A9D"/>
    <w:rsid w:val="00617387"/>
    <w:rsid w:val="006205D6"/>
    <w:rsid w:val="00623936"/>
    <w:rsid w:val="00624757"/>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1790"/>
    <w:rsid w:val="00704387"/>
    <w:rsid w:val="00707669"/>
    <w:rsid w:val="00711CBA"/>
    <w:rsid w:val="00711FB5"/>
    <w:rsid w:val="00712A01"/>
    <w:rsid w:val="00714F58"/>
    <w:rsid w:val="0071526F"/>
    <w:rsid w:val="007223FC"/>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9CC"/>
    <w:rsid w:val="007959E8"/>
    <w:rsid w:val="00795E9C"/>
    <w:rsid w:val="007A0521"/>
    <w:rsid w:val="007A2E12"/>
    <w:rsid w:val="007A3475"/>
    <w:rsid w:val="007A41C8"/>
    <w:rsid w:val="007A54CE"/>
    <w:rsid w:val="007A5D3A"/>
    <w:rsid w:val="007A6FD9"/>
    <w:rsid w:val="007A7FFA"/>
    <w:rsid w:val="007B04EB"/>
    <w:rsid w:val="007B0D4F"/>
    <w:rsid w:val="007B316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40C5"/>
    <w:rsid w:val="007F0ED8"/>
    <w:rsid w:val="007F0F63"/>
    <w:rsid w:val="007F75CE"/>
    <w:rsid w:val="008013A4"/>
    <w:rsid w:val="008027CE"/>
    <w:rsid w:val="00802F42"/>
    <w:rsid w:val="00804383"/>
    <w:rsid w:val="00804BB7"/>
    <w:rsid w:val="00804D41"/>
    <w:rsid w:val="00810257"/>
    <w:rsid w:val="008104F5"/>
    <w:rsid w:val="00811072"/>
    <w:rsid w:val="00811369"/>
    <w:rsid w:val="008128A5"/>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B29"/>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69B"/>
    <w:rsid w:val="008A173B"/>
    <w:rsid w:val="008A1893"/>
    <w:rsid w:val="008A31B5"/>
    <w:rsid w:val="008A57E6"/>
    <w:rsid w:val="008A6F81"/>
    <w:rsid w:val="008A769A"/>
    <w:rsid w:val="008B0C9C"/>
    <w:rsid w:val="008B166D"/>
    <w:rsid w:val="008B17F4"/>
    <w:rsid w:val="008B3615"/>
    <w:rsid w:val="008B4AC4"/>
    <w:rsid w:val="008B50C8"/>
    <w:rsid w:val="008B5281"/>
    <w:rsid w:val="008B6B2B"/>
    <w:rsid w:val="008B7E05"/>
    <w:rsid w:val="008B7FD7"/>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98D"/>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5CD1"/>
    <w:rsid w:val="009378DD"/>
    <w:rsid w:val="009429D5"/>
    <w:rsid w:val="00942BF1"/>
    <w:rsid w:val="00945180"/>
    <w:rsid w:val="00945428"/>
    <w:rsid w:val="0094607B"/>
    <w:rsid w:val="00946B26"/>
    <w:rsid w:val="00953518"/>
    <w:rsid w:val="00953604"/>
    <w:rsid w:val="0095496B"/>
    <w:rsid w:val="00960F1E"/>
    <w:rsid w:val="009610DC"/>
    <w:rsid w:val="00961490"/>
    <w:rsid w:val="0096381A"/>
    <w:rsid w:val="00965E04"/>
    <w:rsid w:val="009674AD"/>
    <w:rsid w:val="00970CDC"/>
    <w:rsid w:val="00971098"/>
    <w:rsid w:val="00975727"/>
    <w:rsid w:val="00977010"/>
    <w:rsid w:val="00977D02"/>
    <w:rsid w:val="00977FF9"/>
    <w:rsid w:val="009809BB"/>
    <w:rsid w:val="0098364B"/>
    <w:rsid w:val="009836D3"/>
    <w:rsid w:val="009908A3"/>
    <w:rsid w:val="00990941"/>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4D"/>
    <w:rsid w:val="009C3257"/>
    <w:rsid w:val="009C3E8F"/>
    <w:rsid w:val="009C4CFA"/>
    <w:rsid w:val="009C5070"/>
    <w:rsid w:val="009D112C"/>
    <w:rsid w:val="009D1385"/>
    <w:rsid w:val="009D2B67"/>
    <w:rsid w:val="009D47FA"/>
    <w:rsid w:val="009D4C5B"/>
    <w:rsid w:val="009D50D2"/>
    <w:rsid w:val="009D6717"/>
    <w:rsid w:val="009D6BCA"/>
    <w:rsid w:val="009E0F62"/>
    <w:rsid w:val="009E4A58"/>
    <w:rsid w:val="009E5A2D"/>
    <w:rsid w:val="009E5AB2"/>
    <w:rsid w:val="009E6219"/>
    <w:rsid w:val="009F03B3"/>
    <w:rsid w:val="009F296D"/>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A08"/>
    <w:rsid w:val="00A246BF"/>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AB5"/>
    <w:rsid w:val="00A648CD"/>
    <w:rsid w:val="00A6537A"/>
    <w:rsid w:val="00A67866"/>
    <w:rsid w:val="00A7038A"/>
    <w:rsid w:val="00A70B07"/>
    <w:rsid w:val="00A723F8"/>
    <w:rsid w:val="00A77CCB"/>
    <w:rsid w:val="00A8094F"/>
    <w:rsid w:val="00A83D8D"/>
    <w:rsid w:val="00A8446B"/>
    <w:rsid w:val="00A8473F"/>
    <w:rsid w:val="00A862D6"/>
    <w:rsid w:val="00A8715E"/>
    <w:rsid w:val="00A9295B"/>
    <w:rsid w:val="00A93080"/>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BBE"/>
    <w:rsid w:val="00AE070A"/>
    <w:rsid w:val="00AE101C"/>
    <w:rsid w:val="00AE2A69"/>
    <w:rsid w:val="00AE37E5"/>
    <w:rsid w:val="00AE4FBE"/>
    <w:rsid w:val="00AE5EB4"/>
    <w:rsid w:val="00AF0C18"/>
    <w:rsid w:val="00AF47C5"/>
    <w:rsid w:val="00AF5398"/>
    <w:rsid w:val="00AF6D3D"/>
    <w:rsid w:val="00B049AF"/>
    <w:rsid w:val="00B07242"/>
    <w:rsid w:val="00B10534"/>
    <w:rsid w:val="00B113DB"/>
    <w:rsid w:val="00B11B3A"/>
    <w:rsid w:val="00B11D8A"/>
    <w:rsid w:val="00B12981"/>
    <w:rsid w:val="00B147DD"/>
    <w:rsid w:val="00B156FD"/>
    <w:rsid w:val="00B16786"/>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862"/>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153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1313"/>
    <w:rsid w:val="00C6329F"/>
    <w:rsid w:val="00C63340"/>
    <w:rsid w:val="00C643F9"/>
    <w:rsid w:val="00C64E95"/>
    <w:rsid w:val="00C71372"/>
    <w:rsid w:val="00C72410"/>
    <w:rsid w:val="00C7287F"/>
    <w:rsid w:val="00C80CB8"/>
    <w:rsid w:val="00C819F8"/>
    <w:rsid w:val="00C8248C"/>
    <w:rsid w:val="00C84E33"/>
    <w:rsid w:val="00C85C11"/>
    <w:rsid w:val="00C86D6F"/>
    <w:rsid w:val="00C905FC"/>
    <w:rsid w:val="00C92D03"/>
    <w:rsid w:val="00C9319C"/>
    <w:rsid w:val="00C9435D"/>
    <w:rsid w:val="00C94DF2"/>
    <w:rsid w:val="00C96741"/>
    <w:rsid w:val="00CA2D1B"/>
    <w:rsid w:val="00CA375D"/>
    <w:rsid w:val="00CA4B82"/>
    <w:rsid w:val="00CA662A"/>
    <w:rsid w:val="00CA7AFD"/>
    <w:rsid w:val="00CA7C3C"/>
    <w:rsid w:val="00CB0189"/>
    <w:rsid w:val="00CB0BA2"/>
    <w:rsid w:val="00CB1A42"/>
    <w:rsid w:val="00CB1B0C"/>
    <w:rsid w:val="00CB2C0B"/>
    <w:rsid w:val="00CB423C"/>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6AF"/>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615"/>
    <w:rsid w:val="00D71F25"/>
    <w:rsid w:val="00D72A9C"/>
    <w:rsid w:val="00D77031"/>
    <w:rsid w:val="00D84941"/>
    <w:rsid w:val="00D84FA1"/>
    <w:rsid w:val="00D851F0"/>
    <w:rsid w:val="00D86DB7"/>
    <w:rsid w:val="00D8717B"/>
    <w:rsid w:val="00D87BF5"/>
    <w:rsid w:val="00D90721"/>
    <w:rsid w:val="00D926D0"/>
    <w:rsid w:val="00D93030"/>
    <w:rsid w:val="00D950E1"/>
    <w:rsid w:val="00D952A6"/>
    <w:rsid w:val="00D97F99"/>
    <w:rsid w:val="00DA1E08"/>
    <w:rsid w:val="00DA24F8"/>
    <w:rsid w:val="00DA28E8"/>
    <w:rsid w:val="00DA38D3"/>
    <w:rsid w:val="00DA3932"/>
    <w:rsid w:val="00DA3AFC"/>
    <w:rsid w:val="00DA5A23"/>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23B"/>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5FC3"/>
    <w:rsid w:val="00ED067A"/>
    <w:rsid w:val="00ED2B50"/>
    <w:rsid w:val="00EE0350"/>
    <w:rsid w:val="00EE0719"/>
    <w:rsid w:val="00EE0E80"/>
    <w:rsid w:val="00EE43C3"/>
    <w:rsid w:val="00EE613F"/>
    <w:rsid w:val="00EE7295"/>
    <w:rsid w:val="00EE7869"/>
    <w:rsid w:val="00EF054A"/>
    <w:rsid w:val="00EF3235"/>
    <w:rsid w:val="00EF7E72"/>
    <w:rsid w:val="00F06D37"/>
    <w:rsid w:val="00F07B9D"/>
    <w:rsid w:val="00F11586"/>
    <w:rsid w:val="00F1183B"/>
    <w:rsid w:val="00F11C9F"/>
    <w:rsid w:val="00F12263"/>
    <w:rsid w:val="00F12A38"/>
    <w:rsid w:val="00F1409D"/>
    <w:rsid w:val="00F14214"/>
    <w:rsid w:val="00F157A9"/>
    <w:rsid w:val="00F16F00"/>
    <w:rsid w:val="00F25BB6"/>
    <w:rsid w:val="00F26B7E"/>
    <w:rsid w:val="00F27A3B"/>
    <w:rsid w:val="00F32780"/>
    <w:rsid w:val="00F33817"/>
    <w:rsid w:val="00F37E30"/>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164C"/>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674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Heading 1 Char"/>
    <w:link w:val="2"/>
    <w:uiPriority w:val="0"/>
    <w:rPr>
      <w:b/>
      <w:bCs/>
      <w:kern w:val="44"/>
      <w:sz w:val="44"/>
      <w:szCs w:val="44"/>
    </w:rPr>
  </w:style>
  <w:style w:type="character" w:customStyle="1" w:styleId="38">
    <w:name w:val="Heading 2 Char"/>
    <w:link w:val="3"/>
    <w:qFormat/>
    <w:uiPriority w:val="0"/>
    <w:rPr>
      <w:rFonts w:ascii="Arial" w:hAnsi="Arial" w:eastAsia="黑体"/>
      <w:b/>
      <w:bCs/>
      <w:kern w:val="2"/>
      <w:sz w:val="32"/>
      <w:szCs w:val="32"/>
    </w:rPr>
  </w:style>
  <w:style w:type="character" w:customStyle="1" w:styleId="39">
    <w:name w:val="Heading 3 Char"/>
    <w:link w:val="4"/>
    <w:qFormat/>
    <w:uiPriority w:val="0"/>
    <w:rPr>
      <w:b/>
      <w:bCs/>
      <w:kern w:val="2"/>
      <w:sz w:val="32"/>
      <w:szCs w:val="32"/>
    </w:rPr>
  </w:style>
  <w:style w:type="character" w:customStyle="1" w:styleId="40">
    <w:name w:val="Heading 4 Char"/>
    <w:link w:val="5"/>
    <w:qFormat/>
    <w:uiPriority w:val="0"/>
    <w:rPr>
      <w:rFonts w:ascii="Arial" w:hAnsi="Arial" w:eastAsia="黑体"/>
      <w:b/>
      <w:bCs/>
      <w:kern w:val="2"/>
      <w:sz w:val="28"/>
      <w:szCs w:val="28"/>
    </w:rPr>
  </w:style>
  <w:style w:type="character" w:customStyle="1" w:styleId="41">
    <w:name w:val="Heading 5 Char"/>
    <w:link w:val="6"/>
    <w:qFormat/>
    <w:uiPriority w:val="0"/>
    <w:rPr>
      <w:b/>
      <w:bCs/>
      <w:kern w:val="2"/>
      <w:sz w:val="28"/>
      <w:szCs w:val="28"/>
    </w:rPr>
  </w:style>
  <w:style w:type="character" w:customStyle="1" w:styleId="42">
    <w:name w:val="Heading 6 Char"/>
    <w:link w:val="7"/>
    <w:qFormat/>
    <w:uiPriority w:val="0"/>
    <w:rPr>
      <w:rFonts w:ascii="Arial" w:hAnsi="Arial" w:eastAsia="黑体"/>
      <w:b/>
      <w:bCs/>
      <w:kern w:val="2"/>
      <w:sz w:val="24"/>
      <w:szCs w:val="24"/>
    </w:rPr>
  </w:style>
  <w:style w:type="character" w:customStyle="1" w:styleId="43">
    <w:name w:val="Heading 7 Char"/>
    <w:link w:val="8"/>
    <w:qFormat/>
    <w:uiPriority w:val="0"/>
    <w:rPr>
      <w:b/>
      <w:bCs/>
      <w:kern w:val="2"/>
      <w:sz w:val="24"/>
      <w:szCs w:val="24"/>
    </w:rPr>
  </w:style>
  <w:style w:type="character" w:customStyle="1" w:styleId="44">
    <w:name w:val="Heading 8 Char"/>
    <w:link w:val="9"/>
    <w:uiPriority w:val="0"/>
    <w:rPr>
      <w:rFonts w:ascii="Arial" w:hAnsi="Arial" w:eastAsia="黑体"/>
      <w:kern w:val="2"/>
      <w:sz w:val="24"/>
      <w:szCs w:val="24"/>
    </w:rPr>
  </w:style>
  <w:style w:type="character" w:customStyle="1" w:styleId="45">
    <w:name w:val="Heading 9 Char"/>
    <w:link w:val="10"/>
    <w:uiPriority w:val="0"/>
    <w:rPr>
      <w:rFonts w:ascii="Arial" w:hAnsi="Arial" w:eastAsia="黑体"/>
      <w:kern w:val="2"/>
      <w:sz w:val="21"/>
      <w:szCs w:val="21"/>
    </w:rPr>
  </w:style>
  <w:style w:type="character" w:customStyle="1" w:styleId="46">
    <w:name w:val="Header Char"/>
    <w:link w:val="19"/>
    <w:qFormat/>
    <w:uiPriority w:val="99"/>
    <w:rPr>
      <w:kern w:val="2"/>
      <w:sz w:val="18"/>
      <w:szCs w:val="18"/>
    </w:rPr>
  </w:style>
  <w:style w:type="character" w:customStyle="1" w:styleId="47">
    <w:name w:val="Footer Char"/>
    <w:link w:val="18"/>
    <w:uiPriority w:val="99"/>
    <w:rPr>
      <w:rFonts w:ascii="宋体"/>
      <w:kern w:val="2"/>
      <w:sz w:val="18"/>
      <w:szCs w:val="18"/>
    </w:rPr>
  </w:style>
  <w:style w:type="character" w:customStyle="1" w:styleId="48">
    <w:name w:val="Balloon Text Char"/>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Quote Char"/>
    <w:link w:val="49"/>
    <w:qFormat/>
    <w:uiPriority w:val="29"/>
    <w:rPr>
      <w:i/>
      <w:iCs/>
      <w:color w:val="000000"/>
      <w:kern w:val="2"/>
      <w:sz w:val="21"/>
      <w:szCs w:val="21"/>
    </w:rPr>
  </w:style>
  <w:style w:type="character" w:customStyle="1" w:styleId="51">
    <w:name w:val="Title Char"/>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Body Text Char"/>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Footnote Text Char"/>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Revision"/>
    <w:hidden/>
    <w:semiHidden/>
    <w:qFormat/>
    <w:uiPriority w:val="99"/>
    <w:rPr>
      <w:rFonts w:ascii="Calibri" w:hAnsi="Calibri" w:eastAsia="宋体" w:cs="Times New Roman"/>
      <w:kern w:val="2"/>
      <w:sz w:val="21"/>
      <w:szCs w:val="21"/>
      <w:lang w:val="en-US" w:eastAsia="zh-CN" w:bidi="ar-SA"/>
    </w:rPr>
  </w:style>
  <w:style w:type="character" w:customStyle="1" w:styleId="234">
    <w:name w:val="Comment Text Char"/>
    <w:basedOn w:val="30"/>
    <w:link w:val="13"/>
    <w:semiHidden/>
    <w:qFormat/>
    <w:uiPriority w:val="99"/>
    <w:rPr>
      <w:kern w:val="2"/>
      <w:sz w:val="21"/>
      <w:szCs w:val="21"/>
    </w:rPr>
  </w:style>
  <w:style w:type="character" w:customStyle="1" w:styleId="235">
    <w:name w:val="Comment Subject Char"/>
    <w:basedOn w:val="234"/>
    <w:link w:val="27"/>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2290C848291443BB6B3A266D7D61816"/>
        <w:style w:val=""/>
        <w:category>
          <w:name w:val="General"/>
          <w:gallery w:val="placeholder"/>
        </w:category>
        <w:types>
          <w:type w:val="bbPlcHdr"/>
        </w:types>
        <w:behaviors>
          <w:behavior w:val="content"/>
        </w:behaviors>
        <w:description w:val=""/>
        <w:guid w:val="{61555882-CBF3-4522-8C86-A595BF33B623}"/>
      </w:docPartPr>
      <w:docPartBody>
        <w:p w14:paraId="57E09C2C">
          <w:pPr>
            <w:pStyle w:val="5"/>
          </w:pPr>
          <w:r>
            <w:rPr>
              <w:rStyle w:val="4"/>
              <w:rFonts w:hint="eastAsia"/>
            </w:rPr>
            <w:t>单击或点击此处输入文字。</w:t>
          </w:r>
        </w:p>
      </w:docPartBody>
    </w:docPart>
    <w:docPart>
      <w:docPartPr>
        <w:name w:val="01A2BA17128A49949FEB6771EDEB0A22"/>
        <w:style w:val=""/>
        <w:category>
          <w:name w:val="General"/>
          <w:gallery w:val="placeholder"/>
        </w:category>
        <w:types>
          <w:type w:val="bbPlcHdr"/>
        </w:types>
        <w:behaviors>
          <w:behavior w:val="content"/>
        </w:behaviors>
        <w:description w:val=""/>
        <w:guid w:val="{EDDE82ED-1979-4E4F-A6C6-362E7E22B3B1}"/>
      </w:docPartPr>
      <w:docPartBody>
        <w:p w14:paraId="4E2E05EA">
          <w:pPr>
            <w:pStyle w:val="6"/>
          </w:pPr>
          <w:r>
            <w:rPr>
              <w:rStyle w:val="4"/>
              <w:rFonts w:hint="eastAsia"/>
            </w:rPr>
            <w:t>选择一项。</w:t>
          </w:r>
        </w:p>
      </w:docPartBody>
    </w:docPart>
    <w:docPart>
      <w:docPartPr>
        <w:name w:val="DFA9E63CD612434C81F4041A692C32A9"/>
        <w:style w:val=""/>
        <w:category>
          <w:name w:val="General"/>
          <w:gallery w:val="placeholder"/>
        </w:category>
        <w:types>
          <w:type w:val="bbPlcHdr"/>
        </w:types>
        <w:behaviors>
          <w:behavior w:val="content"/>
        </w:behaviors>
        <w:description w:val=""/>
        <w:guid w:val="{9E29E648-04C3-4A97-A1B5-E4FEB9B23AC0}"/>
      </w:docPartPr>
      <w:docPartBody>
        <w:p w14:paraId="3519F4E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F0"/>
    <w:rsid w:val="001A65FE"/>
    <w:rsid w:val="005F25F0"/>
    <w:rsid w:val="00677122"/>
    <w:rsid w:val="00C40AEE"/>
    <w:rsid w:val="00D46DD4"/>
    <w:rsid w:val="00F1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2290C848291443BB6B3A266D7D6181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01A2BA17128A49949FEB6771EDEB0A2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DFA9E63CD612434C81F4041A692C32A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10</Pages>
  <Words>7041</Words>
  <Characters>8224</Characters>
  <Lines>66</Lines>
  <Paragraphs>18</Paragraphs>
  <TotalTime>136</TotalTime>
  <ScaleCrop>false</ScaleCrop>
  <LinksUpToDate>false</LinksUpToDate>
  <CharactersWithSpaces>8380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2024-08-30T06:59:00Z</dcterms:created>
  <dc:creator>Yangyang Liu</dc:creator>
  <dc:description>&lt;config cover="true" show_menu="true" version="1.0.0" doctype="SDKXY"&gt;_x000d_
&lt;/config&gt;</dc:description>
  <cp:lastModifiedBy>深圳市标准化协会</cp:lastModifiedBy>
  <cp:lastPrinted>2021-02-02T08:22:00Z</cp:lastPrinted>
  <dcterms:modified xsi:type="dcterms:W3CDTF">2024-09-02T02:12:16Z</dcterms:modified>
  <dc:title>团体标准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D787DB90B81C4B0F8105520788A918AF_12</vt:lpwstr>
  </property>
</Properties>
</file>