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2</w:t>
      </w:r>
      <w:bookmarkStart w:id="0" w:name="_GoBack"/>
      <w:bookmarkEnd w:id="0"/>
    </w:p>
    <w:p>
      <w:pPr>
        <w:spacing w:line="560" w:lineRule="exact"/>
        <w:jc w:val="left"/>
        <w:rPr>
          <w:rFonts w:hint="eastAsia" w:ascii="黑体" w:hAnsi="黑体" w:eastAsia="黑体" w:cs="黑体"/>
          <w:b w:val="0"/>
          <w:bCs w:val="0"/>
          <w:sz w:val="32"/>
          <w:szCs w:val="32"/>
          <w:lang w:val="en-US" w:eastAsia="zh-CN"/>
        </w:rPr>
      </w:pPr>
    </w:p>
    <w:p>
      <w:pPr>
        <w:spacing w:line="560" w:lineRule="exact"/>
        <w:jc w:val="center"/>
        <w:rPr>
          <w:rFonts w:hint="eastAsia" w:asciiTheme="minorEastAsia" w:hAnsiTheme="minorEastAsia" w:cstheme="minorEastAsia"/>
          <w:b/>
          <w:bCs/>
          <w:sz w:val="44"/>
          <w:szCs w:val="44"/>
        </w:rPr>
      </w:pPr>
      <w:r>
        <w:rPr>
          <w:rFonts w:hint="eastAsia" w:ascii="Times New Roman" w:hAnsi="Times New Roman" w:cs="Times New Roman"/>
          <w:b/>
          <w:bCs/>
          <w:sz w:val="44"/>
          <w:szCs w:val="44"/>
        </w:rPr>
        <w:t>《核酸浓度检测试剂盒</w:t>
      </w:r>
      <w:r>
        <w:rPr>
          <w:rFonts w:hint="eastAsia" w:asciiTheme="minorEastAsia" w:hAnsiTheme="minorEastAsia" w:cstheme="minorEastAsia"/>
          <w:b/>
          <w:bCs/>
          <w:sz w:val="44"/>
          <w:szCs w:val="44"/>
        </w:rPr>
        <w:t>性能验证（征求意见稿）》编制说明</w:t>
      </w:r>
    </w:p>
    <w:p>
      <w:pPr>
        <w:spacing w:line="560" w:lineRule="exact"/>
        <w:jc w:val="center"/>
        <w:rPr>
          <w:rFonts w:hint="eastAsia" w:asciiTheme="minorEastAsia" w:hAnsiTheme="minorEastAsia" w:cstheme="minorEastAsia"/>
          <w:b/>
          <w:bCs/>
          <w:sz w:val="44"/>
          <w:szCs w:val="44"/>
        </w:rPr>
      </w:pPr>
    </w:p>
    <w:p>
      <w:pPr>
        <w:spacing w:line="560" w:lineRule="exact"/>
        <w:ind w:firstLine="640" w:firstLineChars="200"/>
        <w:outlineLvl w:val="0"/>
        <w:rPr>
          <w:rFonts w:ascii="黑体" w:hAnsi="黑体" w:eastAsia="黑体"/>
          <w:sz w:val="32"/>
          <w:szCs w:val="32"/>
        </w:rPr>
      </w:pPr>
      <w:r>
        <w:rPr>
          <w:rFonts w:hint="eastAsia" w:ascii="黑体" w:hAnsi="黑体" w:eastAsia="黑体"/>
          <w:sz w:val="32"/>
          <w:szCs w:val="32"/>
        </w:rPr>
        <w:t>一、工作简况</w:t>
      </w:r>
    </w:p>
    <w:p>
      <w:pPr>
        <w:spacing w:line="560" w:lineRule="exact"/>
        <w:ind w:firstLine="643" w:firstLineChars="200"/>
        <w:outlineLvl w:val="1"/>
        <w:rPr>
          <w:rFonts w:hint="eastAsia" w:ascii="楷体_GB2312" w:hAnsi="黑体" w:eastAsia="楷体_GB2312"/>
          <w:b/>
          <w:bCs/>
          <w:sz w:val="32"/>
          <w:szCs w:val="32"/>
        </w:rPr>
      </w:pPr>
      <w:r>
        <w:rPr>
          <w:rFonts w:hint="eastAsia" w:ascii="楷体_GB2312" w:hAnsi="黑体" w:eastAsia="楷体_GB2312"/>
          <w:b/>
          <w:bCs/>
          <w:sz w:val="32"/>
          <w:szCs w:val="32"/>
        </w:rPr>
        <w:t>（一）任务来源</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2022年7月，由深圳市标准化协会批准团体标准《核酸浓度检测试剂盒性能验证》立项。由深圳华大医学检验实验室提出，由深圳市标准化协会归口，起草工作组由深圳华大医学检验实验室、武汉华大医学检验所有限公司、深圳华大基因股份有限公司、南京诺唯赞生物科技股份有限公司、翌圣生物科技(上海)股份有限公司、江苏康为世纪生物科技股份有限公司、天根生化科技(北京)有限公司、依科赛生物科技有限公司、易锦生物技术有限公司、南京固与生物有限公司、杭州博日科技股份有限公司共同组成。</w:t>
      </w:r>
    </w:p>
    <w:p>
      <w:pPr>
        <w:spacing w:line="560" w:lineRule="exact"/>
        <w:ind w:firstLine="643" w:firstLineChars="200"/>
        <w:outlineLvl w:val="1"/>
        <w:rPr>
          <w:rFonts w:ascii="楷体_GB2312" w:hAnsi="黑体" w:eastAsia="楷体_GB2312"/>
          <w:b/>
          <w:bCs/>
          <w:sz w:val="32"/>
          <w:szCs w:val="32"/>
        </w:rPr>
      </w:pPr>
      <w:r>
        <w:rPr>
          <w:rFonts w:hint="eastAsia" w:ascii="楷体_GB2312" w:hAnsi="黑体" w:eastAsia="楷体_GB2312"/>
          <w:b/>
          <w:bCs/>
          <w:sz w:val="32"/>
          <w:szCs w:val="32"/>
        </w:rPr>
        <w:t>（二）编制背景、目的和意义</w:t>
      </w:r>
    </w:p>
    <w:p>
      <w:pPr>
        <w:spacing w:line="560" w:lineRule="exact"/>
        <w:ind w:firstLine="640" w:firstLineChars="200"/>
        <w:rPr>
          <w:rFonts w:hint="eastAsia" w:ascii="仿宋_GB2312" w:hAnsi="Times New Roman" w:eastAsia="仿宋_GB2312" w:cstheme="minorEastAsia"/>
          <w:kern w:val="0"/>
          <w:sz w:val="32"/>
          <w:szCs w:val="32"/>
        </w:rPr>
      </w:pPr>
      <w:r>
        <w:rPr>
          <w:rFonts w:hint="eastAsia" w:ascii="仿宋_GB2312" w:hAnsi="Times New Roman" w:eastAsia="仿宋_GB2312" w:cstheme="minorEastAsia"/>
          <w:kern w:val="0"/>
          <w:sz w:val="32"/>
          <w:szCs w:val="32"/>
        </w:rPr>
        <w:t>核酸浓度定量检测是分子生物学实验室最基本的实验，也是当代医学分子诊断中必不可少的环节。核酸浓度定量检测较常用的方法有分光光度法和荧光染料法，其中荧光染料法在医学分子诊断中运用较广，该方法特异性强、灵敏度高，通过酶标仪或荧光分光光度计对核酸浓度进行测定。可广泛应用于临床疾病诊断、动物疾病检测、食品安全、科学研究等各领域。如何有效的控制实验质量，保证结果的准确性是所有检测机构及实验室追求的共同目标。</w:t>
      </w:r>
    </w:p>
    <w:p>
      <w:pPr>
        <w:spacing w:line="560" w:lineRule="exact"/>
        <w:ind w:firstLine="640" w:firstLineChars="200"/>
        <w:rPr>
          <w:rFonts w:hint="eastAsia" w:ascii="仿宋_GB2312" w:hAnsi="Times New Roman" w:eastAsia="仿宋_GB2312" w:cstheme="minorEastAsia"/>
          <w:kern w:val="0"/>
          <w:sz w:val="32"/>
          <w:szCs w:val="32"/>
        </w:rPr>
      </w:pPr>
      <w:r>
        <w:rPr>
          <w:rFonts w:hint="eastAsia" w:ascii="仿宋_GB2312" w:hAnsi="Times New Roman" w:eastAsia="仿宋_GB2312" w:cstheme="minorEastAsia"/>
          <w:kern w:val="0"/>
          <w:sz w:val="32"/>
          <w:szCs w:val="32"/>
        </w:rPr>
        <w:t>荧光染料法检测核酸浓度试剂盒是通过荧光染料可以特异性地与双链DNA结合，并在特定波长光源的激发下，发出荧光，并且不会检测到样本中可能存在的其他杂质分子，荧光强度与核酸浓度呈正相关。因此其检测灵敏度高，可检测到pg级DNA，检测范围宽，可跨越4个数量级，特异性好，基本不受单链DNA和RNA 的影响，并且可以耐受一定浓度的盐、尿素、乙醇、氯仿、去垢剂、蛋白等干扰。荧光染料法检测核酸浓度试剂盒被广泛应用于遗传、生化、免疫、医药等领域，属于实验室易耗品。在实验过程中，如果核酸浓度定量不精准，甚至核酸浓度定量试剂盒的选择不当都会对结果造成很大影响。因此，各检测机构在开展实验前，如何有效的挑选合适的核酸浓度检测试剂盒并进行性能验证显得尤为重要。</w:t>
      </w:r>
    </w:p>
    <w:p>
      <w:pPr>
        <w:spacing w:line="560" w:lineRule="exact"/>
        <w:ind w:firstLine="640" w:firstLineChars="200"/>
        <w:rPr>
          <w:rFonts w:ascii="仿宋_GB2312" w:hAnsi="Times New Roman" w:eastAsia="仿宋_GB2312" w:cstheme="minorEastAsia"/>
          <w:kern w:val="0"/>
          <w:sz w:val="32"/>
          <w:szCs w:val="32"/>
        </w:rPr>
      </w:pPr>
      <w:r>
        <w:rPr>
          <w:rFonts w:hint="eastAsia" w:ascii="仿宋_GB2312" w:hAnsi="Times New Roman" w:eastAsia="仿宋_GB2312" w:cstheme="minorEastAsia"/>
          <w:kern w:val="0"/>
          <w:sz w:val="32"/>
          <w:szCs w:val="32"/>
        </w:rPr>
        <w:t>目前，实验室试剂用于荧光染料法检测核酸浓度试剂盒暂无相关标准，仅有水溶液中核酸的浓度和纯度检测-紫外分光光度法的相关国家标准，而这些标准仅针对紫外分光光度计法做了标准规范。随着科学技术的发展，尤其是医疗水平的不断提高，核酸检测概念逐渐深入人心，核酸浓度测定应用越来越广泛，因此核酸浓度测定试剂盒市场需求越来越大，市场上各品牌产品质量良莠不齐，急需相应标准对其进行规范统一。</w:t>
      </w:r>
    </w:p>
    <w:p>
      <w:pPr>
        <w:spacing w:line="560" w:lineRule="exact"/>
        <w:ind w:firstLine="643" w:firstLineChars="200"/>
        <w:outlineLvl w:val="1"/>
        <w:rPr>
          <w:rFonts w:ascii="楷体_GB2312" w:hAnsi="黑体" w:eastAsia="楷体_GB2312"/>
          <w:b/>
          <w:bCs/>
          <w:sz w:val="32"/>
          <w:szCs w:val="32"/>
        </w:rPr>
      </w:pPr>
      <w:r>
        <w:rPr>
          <w:rFonts w:hint="eastAsia" w:ascii="楷体_GB2312" w:hAnsi="黑体" w:eastAsia="楷体_GB2312"/>
          <w:b/>
          <w:bCs/>
          <w:sz w:val="32"/>
          <w:szCs w:val="32"/>
        </w:rPr>
        <w:t>（三）主要编制过程</w:t>
      </w:r>
    </w:p>
    <w:p>
      <w:pPr>
        <w:spacing w:before="156" w:beforeLines="50" w:after="156" w:afterLines="50" w:line="560" w:lineRule="exact"/>
        <w:ind w:firstLine="643" w:firstLineChars="200"/>
        <w:rPr>
          <w:rFonts w:hint="eastAsia"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1.</w:t>
      </w:r>
      <w:r>
        <w:rPr>
          <w:rFonts w:hint="eastAsia" w:ascii="仿宋_GB2312" w:eastAsia="仿宋_GB2312" w:cs="Times New Roman" w:hAnsiTheme="minorEastAsia"/>
          <w:b/>
          <w:bCs/>
          <w:sz w:val="32"/>
          <w:szCs w:val="32"/>
        </w:rPr>
        <w:t>前期准备</w:t>
      </w:r>
    </w:p>
    <w:p>
      <w:pPr>
        <w:tabs>
          <w:tab w:val="left" w:pos="709"/>
        </w:tabs>
        <w:spacing w:before="50" w:after="50"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2022年7月8日，深圳华大医学检验实验室联合</w:t>
      </w:r>
      <w:r>
        <w:rPr>
          <w:rFonts w:hint="eastAsia" w:ascii="仿宋_GB2312" w:eastAsia="仿宋_GB2312"/>
          <w:sz w:val="32"/>
          <w:szCs w:val="32"/>
        </w:rPr>
        <w:t>深圳华大基因股份有限公司、武汉华大医学检验所有限公司、深圳华大基因股份有限公司、南京诺唯赞生物科技股份有限公司、翌圣生物科技(上海)股份有限公司、江苏康为世纪生物科技股份有限公司、天根生化科技(北京)有限公司、依科赛生物科技有限公司、易锦生物技术有限公司、南京固与生物有限公司、杭州博日科技股份有限公司</w:t>
      </w:r>
      <w:r>
        <w:rPr>
          <w:rFonts w:hint="eastAsia" w:ascii="仿宋_GB2312" w:hAnsi="Times New Roman" w:eastAsia="仿宋_GB2312" w:cs="Times New Roman"/>
          <w:sz w:val="32"/>
          <w:szCs w:val="32"/>
        </w:rPr>
        <w:t>成立了标准编制小组。标准编制小组对国内外核酸浓度试剂盒性能验证标准的发展状况、发展趋势及存在问题等进行全面系统调研。对调研资料加以整理分析，起草标准的初步框架。</w:t>
      </w:r>
    </w:p>
    <w:p>
      <w:pPr>
        <w:tabs>
          <w:tab w:val="left" w:pos="709"/>
        </w:tabs>
        <w:spacing w:before="50" w:after="50"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2022年7月10日，召开第一次起草工作会议，初步确定标准编制的原则和标准的框架内容。</w:t>
      </w:r>
    </w:p>
    <w:p>
      <w:pPr>
        <w:spacing w:before="156" w:beforeLines="50" w:after="156" w:afterLines="50" w:line="560" w:lineRule="exact"/>
        <w:ind w:firstLine="643" w:firstLineChars="200"/>
        <w:rPr>
          <w:rFonts w:ascii="仿宋_GB2312" w:hAnsi="Times New Roman" w:eastAsia="仿宋_GB2312" w:cs="Times New Roman"/>
          <w:b/>
          <w:bCs/>
          <w:sz w:val="32"/>
          <w:szCs w:val="32"/>
        </w:rPr>
      </w:pPr>
      <w:r>
        <w:rPr>
          <w:rFonts w:ascii="仿宋_GB2312" w:hAnsi="Times New Roman" w:eastAsia="仿宋_GB2312" w:cs="Times New Roman"/>
          <w:b/>
          <w:bCs/>
          <w:sz w:val="32"/>
          <w:szCs w:val="32"/>
        </w:rPr>
        <w:t xml:space="preserve">2.标准立项 </w:t>
      </w:r>
    </w:p>
    <w:p>
      <w:pPr>
        <w:spacing w:before="50" w:after="50" w:line="560" w:lineRule="exact"/>
        <w:ind w:firstLine="640" w:firstLineChars="200"/>
        <w:rPr>
          <w:rFonts w:hint="eastAsia" w:ascii="仿宋_GB2312" w:eastAsia="仿宋_GB2312" w:cs="Times New Roman" w:hAnsiTheme="minorEastAsia"/>
          <w:color w:val="000000"/>
          <w:sz w:val="32"/>
          <w:szCs w:val="32"/>
        </w:rPr>
      </w:pPr>
      <w:r>
        <w:rPr>
          <w:rFonts w:hint="eastAsia" w:ascii="仿宋_GB2312" w:hAnsi="Times New Roman" w:eastAsia="仿宋_GB2312" w:cs="Times New Roman"/>
          <w:color w:val="000000"/>
          <w:sz w:val="32"/>
          <w:szCs w:val="32"/>
        </w:rPr>
        <w:t>2022</w:t>
      </w:r>
      <w:r>
        <w:rPr>
          <w:rFonts w:hint="eastAsia" w:ascii="仿宋_GB2312" w:eastAsia="仿宋_GB2312" w:cs="Times New Roman" w:hAnsiTheme="minorEastAsia"/>
          <w:color w:val="000000"/>
          <w:sz w:val="32"/>
          <w:szCs w:val="32"/>
        </w:rPr>
        <w:t>年7月15日，深圳市标准协会批准《</w:t>
      </w:r>
      <w:r>
        <w:rPr>
          <w:rFonts w:hint="eastAsia" w:ascii="仿宋_GB2312" w:eastAsia="仿宋_GB2312"/>
          <w:sz w:val="32"/>
          <w:szCs w:val="32"/>
        </w:rPr>
        <w:t>核酸浓度检测试剂盒性能验证</w:t>
      </w:r>
      <w:r>
        <w:rPr>
          <w:rFonts w:hint="eastAsia" w:ascii="仿宋_GB2312" w:eastAsia="仿宋_GB2312" w:cs="Times New Roman" w:hAnsiTheme="minorEastAsia"/>
          <w:color w:val="000000"/>
          <w:sz w:val="32"/>
          <w:szCs w:val="32"/>
        </w:rPr>
        <w:t>》的立项。</w:t>
      </w:r>
    </w:p>
    <w:p>
      <w:pPr>
        <w:spacing w:before="156" w:beforeLines="50" w:after="156" w:afterLines="50" w:line="560" w:lineRule="exact"/>
        <w:ind w:firstLine="643" w:firstLineChars="200"/>
        <w:rPr>
          <w:rFonts w:hint="eastAsia" w:ascii="仿宋_GB2312" w:hAnsi="Times New Roman" w:eastAsia="仿宋_GB2312" w:cs="Times New Roman"/>
          <w:b/>
          <w:bCs/>
          <w:sz w:val="32"/>
          <w:szCs w:val="32"/>
        </w:rPr>
      </w:pPr>
      <w:r>
        <w:rPr>
          <w:rFonts w:ascii="仿宋_GB2312" w:hAnsi="Times New Roman" w:eastAsia="仿宋_GB2312" w:cs="Times New Roman"/>
          <w:b/>
          <w:bCs/>
          <w:sz w:val="32"/>
          <w:szCs w:val="32"/>
        </w:rPr>
        <w:t>3.</w:t>
      </w:r>
      <w:r>
        <w:rPr>
          <w:rFonts w:hint="eastAsia" w:ascii="仿宋_GB2312" w:hAnsi="Times New Roman" w:eastAsia="仿宋_GB2312" w:cs="Times New Roman"/>
          <w:b/>
          <w:bCs/>
          <w:sz w:val="32"/>
          <w:szCs w:val="32"/>
        </w:rPr>
        <w:t>编制标准草案</w:t>
      </w:r>
    </w:p>
    <w:p>
      <w:pPr>
        <w:pStyle w:val="6"/>
        <w:spacing w:before="50" w:beforeAutospacing="0" w:after="50" w:afterAutospacing="0" w:line="560" w:lineRule="exact"/>
        <w:ind w:firstLine="640" w:firstLineChars="200"/>
        <w:jc w:val="both"/>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2022</w:t>
      </w:r>
      <w:r>
        <w:rPr>
          <w:rFonts w:hint="eastAsia" w:ascii="仿宋_GB2312" w:eastAsia="仿宋_GB2312" w:cs="Times New Roman" w:hAnsiTheme="minorEastAsia"/>
          <w:color w:val="000000"/>
          <w:sz w:val="32"/>
          <w:szCs w:val="32"/>
        </w:rPr>
        <w:t>年</w:t>
      </w:r>
      <w:r>
        <w:rPr>
          <w:rFonts w:hint="eastAsia" w:ascii="仿宋_GB2312" w:hAnsi="Times New Roman" w:eastAsia="仿宋_GB2312" w:cs="Times New Roman"/>
          <w:color w:val="000000"/>
          <w:sz w:val="32"/>
          <w:szCs w:val="32"/>
        </w:rPr>
        <w:t>10</w:t>
      </w:r>
      <w:r>
        <w:rPr>
          <w:rFonts w:hint="eastAsia" w:ascii="仿宋_GB2312" w:eastAsia="仿宋_GB2312" w:cs="Times New Roman" w:hAnsiTheme="minorEastAsia"/>
          <w:color w:val="000000"/>
          <w:sz w:val="32"/>
          <w:szCs w:val="32"/>
        </w:rPr>
        <w:t>月20日，召开第二次起草组会议，主要讨论本标准的范围，此次研讨会后，经过修改形成工作组讨论初稿。</w:t>
      </w:r>
    </w:p>
    <w:p>
      <w:pPr>
        <w:pStyle w:val="6"/>
        <w:spacing w:before="50" w:beforeAutospacing="0" w:after="50" w:afterAutospacing="0" w:line="560" w:lineRule="exact"/>
        <w:ind w:firstLine="640" w:firstLineChars="200"/>
        <w:jc w:val="both"/>
        <w:rPr>
          <w:rFonts w:hint="eastAsia" w:ascii="仿宋_GB2312" w:eastAsia="仿宋_GB2312" w:cs="Times New Roman" w:hAnsiTheme="minorEastAsia"/>
          <w:color w:val="000000"/>
          <w:sz w:val="32"/>
          <w:szCs w:val="32"/>
        </w:rPr>
      </w:pPr>
      <w:r>
        <w:rPr>
          <w:rFonts w:hint="eastAsia" w:ascii="仿宋_GB2312" w:hAnsi="Times New Roman" w:eastAsia="仿宋_GB2312" w:cs="Times New Roman"/>
          <w:color w:val="000000"/>
          <w:sz w:val="32"/>
          <w:szCs w:val="32"/>
        </w:rPr>
        <w:t>2023</w:t>
      </w:r>
      <w:r>
        <w:rPr>
          <w:rFonts w:hint="eastAsia" w:ascii="仿宋_GB2312" w:eastAsia="仿宋_GB2312" w:cs="Times New Roman" w:hAnsiTheme="minorEastAsia"/>
          <w:color w:val="000000"/>
          <w:sz w:val="32"/>
          <w:szCs w:val="32"/>
        </w:rPr>
        <w:t>年</w:t>
      </w:r>
      <w:r>
        <w:rPr>
          <w:rFonts w:hint="eastAsia" w:ascii="仿宋_GB2312" w:hAnsi="Times New Roman" w:eastAsia="仿宋_GB2312" w:cs="Times New Roman"/>
          <w:color w:val="000000"/>
          <w:sz w:val="32"/>
          <w:szCs w:val="32"/>
        </w:rPr>
        <w:t>1</w:t>
      </w:r>
      <w:r>
        <w:rPr>
          <w:rFonts w:hint="eastAsia" w:ascii="仿宋_GB2312" w:eastAsia="仿宋_GB2312" w:cs="Times New Roman" w:hAnsiTheme="minorEastAsia"/>
          <w:color w:val="000000"/>
          <w:sz w:val="32"/>
          <w:szCs w:val="32"/>
        </w:rPr>
        <w:t>月16日，召开第三次起草组会议，主要研究讨论各条款的准确性、实用性和可维护性。经过这次讨论，编制小组根据讨论结果进行修改，形成工作组讨论第二稿。</w:t>
      </w:r>
    </w:p>
    <w:p>
      <w:pPr>
        <w:pStyle w:val="6"/>
        <w:spacing w:before="50" w:beforeAutospacing="0" w:after="50" w:afterAutospacing="0" w:line="560" w:lineRule="exact"/>
        <w:ind w:firstLine="640" w:firstLineChars="200"/>
        <w:jc w:val="both"/>
        <w:rPr>
          <w:rFonts w:hint="eastAsia" w:ascii="仿宋_GB2312" w:eastAsia="仿宋_GB2312" w:cs="Times New Roman" w:hAnsiTheme="minorEastAsia"/>
          <w:color w:val="000000"/>
          <w:sz w:val="32"/>
          <w:szCs w:val="32"/>
        </w:rPr>
      </w:pPr>
      <w:r>
        <w:rPr>
          <w:rFonts w:hint="eastAsia" w:ascii="仿宋_GB2312" w:eastAsia="仿宋_GB2312" w:cs="Times New Roman" w:hAnsiTheme="minorEastAsia"/>
          <w:color w:val="000000"/>
          <w:sz w:val="32"/>
          <w:szCs w:val="32"/>
        </w:rPr>
        <w:t>2023年4月24日，召开第四次起草组会议，起草小组就标准各章节进行讨论，确认文件内容。此外，对标准的语言与格式进行了规范。</w:t>
      </w:r>
    </w:p>
    <w:p>
      <w:pPr>
        <w:pStyle w:val="6"/>
        <w:spacing w:before="50" w:beforeAutospacing="0" w:after="50" w:afterAutospacing="0" w:line="560" w:lineRule="exact"/>
        <w:ind w:firstLine="640" w:firstLineChars="200"/>
        <w:jc w:val="both"/>
        <w:rPr>
          <w:rFonts w:hint="eastAsia" w:ascii="仿宋_GB2312" w:eastAsia="仿宋_GB2312" w:cs="Times New Roman" w:hAnsiTheme="minorEastAsia"/>
          <w:color w:val="000000"/>
          <w:sz w:val="32"/>
          <w:szCs w:val="32"/>
        </w:rPr>
      </w:pPr>
      <w:r>
        <w:rPr>
          <w:rFonts w:hint="eastAsia" w:ascii="仿宋_GB2312" w:eastAsia="仿宋_GB2312" w:cs="Times New Roman" w:hAnsiTheme="minorEastAsia"/>
          <w:color w:val="000000"/>
          <w:sz w:val="32"/>
          <w:szCs w:val="32"/>
        </w:rPr>
        <w:t>2023年6月5日，召开第五次起草组会议，各共同起草单位达成意见一致。</w:t>
      </w:r>
    </w:p>
    <w:p>
      <w:pPr>
        <w:pStyle w:val="6"/>
        <w:spacing w:before="50" w:beforeAutospacing="0" w:after="50" w:afterAutospacing="0" w:line="560" w:lineRule="exact"/>
        <w:ind w:firstLine="640" w:firstLineChars="200"/>
        <w:jc w:val="both"/>
        <w:rPr>
          <w:rFonts w:hint="eastAsia" w:ascii="仿宋_GB2312" w:eastAsia="仿宋_GB2312" w:cs="Times New Roman" w:hAnsiTheme="minorEastAsia"/>
          <w:color w:val="000000"/>
          <w:sz w:val="32"/>
          <w:szCs w:val="32"/>
        </w:rPr>
      </w:pPr>
      <w:r>
        <w:rPr>
          <w:rFonts w:hint="eastAsia" w:ascii="仿宋_GB2312" w:eastAsia="仿宋_GB2312" w:cs="Times New Roman" w:hAnsiTheme="minorEastAsia"/>
          <w:color w:val="000000"/>
          <w:sz w:val="32"/>
          <w:szCs w:val="32"/>
        </w:rPr>
        <w:t>期间，编制小组也不断完善草案，进行内容上的更新，格式上的修改，以保证草案的质量。</w:t>
      </w:r>
    </w:p>
    <w:p>
      <w:pPr>
        <w:spacing w:before="156" w:beforeLines="50" w:after="156" w:afterLines="50" w:line="560" w:lineRule="exact"/>
        <w:ind w:firstLine="643" w:firstLineChars="200"/>
        <w:rPr>
          <w:rFonts w:hint="eastAsia" w:ascii="仿宋_GB2312" w:hAnsi="Times New Roman" w:eastAsia="仿宋_GB2312" w:cs="Times New Roman"/>
          <w:b/>
          <w:bCs/>
          <w:sz w:val="32"/>
          <w:szCs w:val="32"/>
        </w:rPr>
      </w:pPr>
      <w:r>
        <w:rPr>
          <w:rFonts w:ascii="仿宋_GB2312" w:hAnsi="Times New Roman" w:eastAsia="仿宋_GB2312" w:cs="Times New Roman"/>
          <w:b/>
          <w:bCs/>
          <w:sz w:val="32"/>
          <w:szCs w:val="32"/>
        </w:rPr>
        <w:t>4</w:t>
      </w:r>
      <w:r>
        <w:rPr>
          <w:rFonts w:hint="eastAsia" w:ascii="仿宋_GB2312" w:hAnsi="Times New Roman" w:eastAsia="仿宋_GB2312" w:cs="Times New Roman"/>
          <w:b/>
          <w:bCs/>
          <w:sz w:val="32"/>
          <w:szCs w:val="32"/>
        </w:rPr>
        <w:t>．公开征求意见</w:t>
      </w:r>
    </w:p>
    <w:p>
      <w:pPr>
        <w:pStyle w:val="6"/>
        <w:spacing w:before="50" w:beforeAutospacing="0" w:after="50" w:afterAutospacing="0" w:line="560" w:lineRule="exact"/>
        <w:ind w:firstLine="640" w:firstLineChars="200"/>
        <w:jc w:val="both"/>
        <w:rPr>
          <w:rFonts w:hint="eastAsia" w:ascii="仿宋_GB2312" w:eastAsia="仿宋_GB2312" w:cs="Times New Roman" w:hAnsiTheme="minorEastAsia"/>
          <w:color w:val="000000"/>
          <w:sz w:val="32"/>
          <w:szCs w:val="32"/>
        </w:rPr>
      </w:pPr>
      <w:r>
        <w:rPr>
          <w:rFonts w:hint="eastAsia" w:ascii="仿宋_GB2312" w:hAnsi="Times New Roman" w:eastAsia="仿宋_GB2312" w:cs="Times New Roman"/>
          <w:color w:val="000000"/>
          <w:sz w:val="32"/>
          <w:szCs w:val="32"/>
        </w:rPr>
        <w:t>2023</w:t>
      </w:r>
      <w:r>
        <w:rPr>
          <w:rFonts w:hint="eastAsia" w:ascii="仿宋_GB2312" w:eastAsia="仿宋_GB2312" w:cs="Times New Roman" w:hAnsiTheme="minorEastAsia"/>
          <w:color w:val="000000"/>
          <w:sz w:val="32"/>
          <w:szCs w:val="32"/>
        </w:rPr>
        <w:t>年</w:t>
      </w:r>
      <w:r>
        <w:rPr>
          <w:rFonts w:hint="eastAsia" w:ascii="仿宋_GB2312" w:hAnsi="Times New Roman" w:eastAsia="仿宋_GB2312" w:cs="Times New Roman"/>
          <w:color w:val="000000"/>
          <w:sz w:val="32"/>
          <w:szCs w:val="32"/>
        </w:rPr>
        <w:t>6</w:t>
      </w:r>
      <w:r>
        <w:rPr>
          <w:rFonts w:hint="eastAsia" w:ascii="仿宋_GB2312" w:eastAsia="仿宋_GB2312" w:cs="Times New Roman" w:hAnsiTheme="minorEastAsia"/>
          <w:color w:val="000000"/>
          <w:sz w:val="32"/>
          <w:szCs w:val="32"/>
        </w:rPr>
        <w:t>月-</w:t>
      </w:r>
      <w:r>
        <w:rPr>
          <w:rFonts w:hint="eastAsia" w:ascii="仿宋_GB2312" w:hAnsi="Times New Roman" w:eastAsia="仿宋_GB2312" w:cs="Times New Roman"/>
          <w:color w:val="000000"/>
          <w:sz w:val="32"/>
          <w:szCs w:val="32"/>
        </w:rPr>
        <w:t>2023</w:t>
      </w:r>
      <w:r>
        <w:rPr>
          <w:rFonts w:hint="eastAsia" w:ascii="仿宋_GB2312" w:eastAsia="仿宋_GB2312" w:cs="Times New Roman" w:hAnsiTheme="minorEastAsia"/>
          <w:color w:val="000000"/>
          <w:sz w:val="32"/>
          <w:szCs w:val="32"/>
        </w:rPr>
        <w:t>年</w:t>
      </w:r>
      <w:r>
        <w:rPr>
          <w:rFonts w:hint="eastAsia" w:ascii="仿宋_GB2312" w:hAnsi="Times New Roman" w:eastAsia="仿宋_GB2312" w:cs="Times New Roman"/>
          <w:color w:val="000000"/>
          <w:sz w:val="32"/>
          <w:szCs w:val="32"/>
        </w:rPr>
        <w:t>7</w:t>
      </w:r>
      <w:r>
        <w:rPr>
          <w:rFonts w:hint="eastAsia" w:ascii="仿宋_GB2312" w:eastAsia="仿宋_GB2312" w:cs="Times New Roman" w:hAnsiTheme="minorEastAsia"/>
          <w:color w:val="000000"/>
          <w:sz w:val="32"/>
          <w:szCs w:val="32"/>
        </w:rPr>
        <w:t>月，起草工作组将标准草案发送给试剂生产商、试剂供应商及研究所等各单位的专家，就草案进行讨论，征求意见和建议。同时，深圳市标准化协会将征求意见稿提交至全国标准信息平台和深圳市标准化协会官方微信公众号，广泛征求建议。</w:t>
      </w:r>
    </w:p>
    <w:p>
      <w:pPr>
        <w:spacing w:line="560" w:lineRule="exact"/>
        <w:ind w:firstLine="640" w:firstLineChars="200"/>
        <w:outlineLvl w:val="0"/>
        <w:rPr>
          <w:rFonts w:ascii="黑体" w:hAnsi="黑体" w:eastAsia="黑体"/>
          <w:sz w:val="32"/>
          <w:szCs w:val="32"/>
        </w:rPr>
      </w:pPr>
      <w:r>
        <w:rPr>
          <w:rFonts w:hint="eastAsia" w:ascii="黑体" w:hAnsi="黑体" w:eastAsia="黑体"/>
          <w:sz w:val="32"/>
          <w:szCs w:val="32"/>
        </w:rPr>
        <w:t>二、标准原则/依据和主要内容</w:t>
      </w:r>
    </w:p>
    <w:p>
      <w:pPr>
        <w:spacing w:line="560" w:lineRule="exact"/>
        <w:ind w:firstLine="643" w:firstLineChars="200"/>
        <w:outlineLvl w:val="1"/>
        <w:rPr>
          <w:rFonts w:hint="eastAsia" w:ascii="楷体_GB2312" w:hAnsi="黑体" w:eastAsia="楷体_GB2312"/>
          <w:b/>
          <w:bCs/>
          <w:sz w:val="32"/>
          <w:szCs w:val="32"/>
        </w:rPr>
      </w:pPr>
      <w:r>
        <w:rPr>
          <w:rFonts w:hint="eastAsia" w:ascii="楷体_GB2312" w:hAnsi="黑体" w:eastAsia="楷体_GB2312"/>
          <w:b/>
          <w:bCs/>
          <w:sz w:val="32"/>
          <w:szCs w:val="32"/>
        </w:rPr>
        <w:t>（一）制标原则/依据</w:t>
      </w:r>
    </w:p>
    <w:p>
      <w:pPr>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1.协调一致、依法原则</w:t>
      </w:r>
    </w:p>
    <w:p>
      <w:pPr>
        <w:spacing w:line="560" w:lineRule="exact"/>
        <w:ind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以现行法律法规的规定和相关标准为基础。本标准中的约束性条款首先应与这些法律法规、强制性标准的要求保持一致，并在必要情况下予以细化和延伸，但总体上不得有悖于法律法规和强制性标准的要求。</w:t>
      </w:r>
    </w:p>
    <w:p>
      <w:pPr>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2.科学合理、实用性原则</w:t>
      </w:r>
    </w:p>
    <w:p>
      <w:pPr>
        <w:spacing w:line="560" w:lineRule="exact"/>
        <w:ind w:firstLine="640" w:firstLineChars="200"/>
        <w:rPr>
          <w:rFonts w:hint="eastAsia" w:ascii="仿宋_GB2312" w:eastAsia="仿宋_GB2312"/>
          <w:sz w:val="32"/>
          <w:szCs w:val="32"/>
        </w:rPr>
      </w:pPr>
      <w:r>
        <w:rPr>
          <w:rFonts w:hint="eastAsia" w:ascii="仿宋_GB2312" w:eastAsia="仿宋_GB2312" w:cs="Times New Roman" w:hAnsiTheme="minorEastAsia"/>
          <w:sz w:val="32"/>
          <w:szCs w:val="32"/>
        </w:rPr>
        <w:t>标准的编写结合了</w:t>
      </w:r>
      <w:r>
        <w:rPr>
          <w:rFonts w:hint="eastAsia" w:ascii="仿宋_GB2312" w:hAnsi="Times New Roman" w:eastAsia="仿宋_GB2312" w:cstheme="minorEastAsia"/>
          <w:kern w:val="0"/>
          <w:sz w:val="32"/>
          <w:szCs w:val="32"/>
        </w:rPr>
        <w:t>核酸浓度检测试剂盒</w:t>
      </w:r>
      <w:r>
        <w:rPr>
          <w:rFonts w:hint="eastAsia" w:ascii="仿宋_GB2312" w:eastAsia="仿宋_GB2312" w:cs="Times New Roman" w:hAnsiTheme="minorEastAsia"/>
          <w:sz w:val="32"/>
          <w:szCs w:val="32"/>
        </w:rPr>
        <w:t>的应用现状、性能要求及验证方法等方面的实际情况。</w:t>
      </w:r>
      <w:r>
        <w:rPr>
          <w:rFonts w:hint="eastAsia" w:ascii="仿宋_GB2312" w:hAnsi="Times New Roman" w:eastAsia="仿宋_GB2312" w:cs="Times New Roman"/>
          <w:sz w:val="32"/>
          <w:szCs w:val="32"/>
        </w:rPr>
        <w:t>标准化的</w:t>
      </w:r>
      <w:r>
        <w:rPr>
          <w:rFonts w:hint="eastAsia" w:ascii="仿宋_GB2312" w:hAnsi="Times New Roman" w:eastAsia="仿宋_GB2312" w:cstheme="minorEastAsia"/>
          <w:kern w:val="0"/>
          <w:sz w:val="32"/>
          <w:szCs w:val="32"/>
        </w:rPr>
        <w:t>核酸浓度检测试剂盒</w:t>
      </w:r>
      <w:r>
        <w:rPr>
          <w:rFonts w:hint="eastAsia" w:ascii="仿宋_GB2312" w:hAnsi="Times New Roman" w:eastAsia="仿宋_GB2312" w:cs="Times New Roman"/>
          <w:sz w:val="32"/>
          <w:szCs w:val="32"/>
        </w:rPr>
        <w:t>性能验证对耗材质量控制，实验结果准确性、稳定性具有必要意义，可指导各实验室和检测机构建立自己的试剂质检标准和规范。</w:t>
      </w:r>
      <w:r>
        <w:rPr>
          <w:rFonts w:hint="eastAsia" w:ascii="仿宋_GB2312" w:eastAsia="仿宋_GB2312" w:cs="Times New Roman" w:hAnsiTheme="minorEastAsia"/>
          <w:sz w:val="32"/>
          <w:szCs w:val="32"/>
        </w:rPr>
        <w:t>标准的编制过程中，考虑了试剂性能验证的基本原则和标准操作规程，便于推广应用。</w:t>
      </w:r>
    </w:p>
    <w:p>
      <w:pPr>
        <w:spacing w:line="560" w:lineRule="exact"/>
        <w:ind w:firstLine="643" w:firstLineChars="200"/>
        <w:outlineLvl w:val="1"/>
        <w:rPr>
          <w:rFonts w:hint="eastAsia" w:ascii="楷体_GB2312" w:hAnsi="黑体" w:eastAsia="楷体_GB2312"/>
          <w:b/>
          <w:bCs/>
          <w:sz w:val="32"/>
          <w:szCs w:val="32"/>
        </w:rPr>
      </w:pPr>
      <w:r>
        <w:rPr>
          <w:rFonts w:hint="eastAsia" w:ascii="楷体_GB2312" w:hAnsi="黑体" w:eastAsia="楷体_GB2312"/>
          <w:b/>
          <w:bCs/>
          <w:sz w:val="32"/>
          <w:szCs w:val="32"/>
        </w:rPr>
        <w:t>(二)主要内容</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2.1规范了</w:t>
      </w:r>
      <w:r>
        <w:rPr>
          <w:rFonts w:hint="eastAsia" w:ascii="仿宋_GB2312" w:hAnsi="Times New Roman" w:eastAsia="仿宋_GB2312" w:cstheme="minorEastAsia"/>
          <w:kern w:val="0"/>
          <w:sz w:val="32"/>
          <w:szCs w:val="32"/>
        </w:rPr>
        <w:t>核酸浓度检测试剂盒</w:t>
      </w:r>
      <w:r>
        <w:rPr>
          <w:rFonts w:hint="eastAsia" w:ascii="仿宋_GB2312" w:eastAsia="仿宋_GB2312"/>
          <w:sz w:val="32"/>
          <w:szCs w:val="32"/>
        </w:rPr>
        <w:t>性能验证的相关术语和定义；</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2.2规范了</w:t>
      </w:r>
      <w:r>
        <w:rPr>
          <w:rFonts w:hint="eastAsia" w:ascii="仿宋_GB2312" w:hAnsi="Times New Roman" w:eastAsia="仿宋_GB2312" w:cstheme="minorEastAsia"/>
          <w:kern w:val="0"/>
          <w:sz w:val="32"/>
          <w:szCs w:val="32"/>
        </w:rPr>
        <w:t>核酸浓度检测试剂盒</w:t>
      </w:r>
      <w:r>
        <w:rPr>
          <w:rFonts w:hint="eastAsia" w:ascii="仿宋_GB2312" w:eastAsia="仿宋_GB2312"/>
          <w:sz w:val="32"/>
          <w:szCs w:val="32"/>
        </w:rPr>
        <w:t>的分类；</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2.3规范了</w:t>
      </w:r>
      <w:r>
        <w:rPr>
          <w:rFonts w:hint="eastAsia" w:ascii="仿宋_GB2312" w:hAnsi="Times New Roman" w:eastAsia="仿宋_GB2312" w:cstheme="minorEastAsia"/>
          <w:kern w:val="0"/>
          <w:sz w:val="32"/>
          <w:szCs w:val="32"/>
        </w:rPr>
        <w:t>核酸浓度检测试剂盒</w:t>
      </w:r>
      <w:r>
        <w:rPr>
          <w:rFonts w:hint="eastAsia" w:ascii="仿宋_GB2312" w:eastAsia="仿宋_GB2312"/>
          <w:sz w:val="32"/>
          <w:szCs w:val="32"/>
        </w:rPr>
        <w:t>的性能要求；</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2.4规范了</w:t>
      </w:r>
      <w:r>
        <w:rPr>
          <w:rFonts w:hint="eastAsia" w:ascii="仿宋_GB2312" w:hAnsi="Times New Roman" w:eastAsia="仿宋_GB2312" w:cstheme="minorEastAsia"/>
          <w:kern w:val="0"/>
          <w:sz w:val="32"/>
          <w:szCs w:val="32"/>
        </w:rPr>
        <w:t>核酸浓度检测试剂盒</w:t>
      </w:r>
      <w:r>
        <w:rPr>
          <w:rFonts w:hint="eastAsia" w:ascii="仿宋_GB2312" w:eastAsia="仿宋_GB2312"/>
          <w:sz w:val="32"/>
          <w:szCs w:val="32"/>
        </w:rPr>
        <w:t>性能验证的方法；</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2.5规范了</w:t>
      </w:r>
      <w:r>
        <w:rPr>
          <w:rFonts w:hint="eastAsia" w:ascii="仿宋_GB2312" w:hAnsi="Times New Roman" w:eastAsia="仿宋_GB2312" w:cstheme="minorEastAsia"/>
          <w:kern w:val="0"/>
          <w:sz w:val="32"/>
          <w:szCs w:val="32"/>
        </w:rPr>
        <w:t>核酸浓度检测试剂盒</w:t>
      </w:r>
      <w:r>
        <w:rPr>
          <w:rFonts w:hint="eastAsia" w:ascii="仿宋_GB2312" w:eastAsia="仿宋_GB2312"/>
          <w:sz w:val="32"/>
          <w:szCs w:val="32"/>
        </w:rPr>
        <w:t>性能验证及判定的规则。</w:t>
      </w:r>
    </w:p>
    <w:p>
      <w:pPr>
        <w:spacing w:line="560" w:lineRule="exact"/>
        <w:ind w:firstLine="640" w:firstLineChars="200"/>
        <w:outlineLvl w:val="0"/>
        <w:rPr>
          <w:rFonts w:hint="eastAsia" w:ascii="黑体" w:hAnsi="黑体" w:eastAsia="黑体"/>
          <w:sz w:val="32"/>
          <w:szCs w:val="32"/>
        </w:rPr>
      </w:pPr>
      <w:r>
        <w:rPr>
          <w:rFonts w:hint="eastAsia" w:ascii="黑体" w:hAnsi="黑体" w:eastAsia="黑体"/>
          <w:sz w:val="32"/>
          <w:szCs w:val="32"/>
        </w:rPr>
        <w:t>三、产业化情况和预期的经济效果</w:t>
      </w:r>
    </w:p>
    <w:p>
      <w:pPr>
        <w:spacing w:line="560" w:lineRule="exact"/>
        <w:ind w:firstLine="640" w:firstLineChars="200"/>
        <w:rPr>
          <w:rFonts w:hint="eastAsia" w:ascii="仿宋_GB2312" w:eastAsia="仿宋_GB2312"/>
          <w:sz w:val="32"/>
          <w:szCs w:val="32"/>
        </w:rPr>
      </w:pPr>
      <w:r>
        <w:rPr>
          <w:rFonts w:hint="eastAsia" w:ascii="仿宋_GB2312" w:hAnsi="Times New Roman" w:eastAsia="仿宋_GB2312" w:cstheme="minorEastAsia"/>
          <w:kern w:val="0"/>
          <w:sz w:val="32"/>
          <w:szCs w:val="32"/>
        </w:rPr>
        <w:t>核酸浓度检测试剂盒</w:t>
      </w:r>
      <w:r>
        <w:rPr>
          <w:rFonts w:hint="eastAsia" w:ascii="仿宋_GB2312" w:eastAsia="仿宋_GB2312"/>
          <w:sz w:val="32"/>
          <w:szCs w:val="32"/>
        </w:rPr>
        <w:t>作为分子核酸浓度检测试剂，在分子诊断的实际应用场景中都必不可少。在分子诊断相关公司、检验所和实验室，</w:t>
      </w:r>
      <w:r>
        <w:rPr>
          <w:rFonts w:hint="eastAsia" w:ascii="仿宋_GB2312" w:hAnsi="Times New Roman" w:eastAsia="仿宋_GB2312" w:cstheme="minorEastAsia"/>
          <w:kern w:val="0"/>
          <w:sz w:val="32"/>
          <w:szCs w:val="32"/>
        </w:rPr>
        <w:t>核酸浓度检测试剂盒</w:t>
      </w:r>
      <w:r>
        <w:rPr>
          <w:rFonts w:hint="eastAsia" w:ascii="仿宋_GB2312" w:eastAsia="仿宋_GB2312"/>
          <w:sz w:val="32"/>
          <w:szCs w:val="32"/>
        </w:rPr>
        <w:t>的消耗量都非常大，通常占采购清单的前几位。</w:t>
      </w:r>
    </w:p>
    <w:p>
      <w:pPr>
        <w:pStyle w:val="12"/>
        <w:numPr>
          <w:ilvl w:val="0"/>
          <w:numId w:val="1"/>
        </w:numPr>
        <w:spacing w:line="560" w:lineRule="exact"/>
        <w:ind w:firstLineChars="0"/>
        <w:rPr>
          <w:rFonts w:hint="eastAsia" w:ascii="楷体_GB2312" w:eastAsia="楷体_GB2312"/>
          <w:b/>
          <w:bCs/>
          <w:sz w:val="32"/>
          <w:szCs w:val="32"/>
        </w:rPr>
      </w:pPr>
      <w:r>
        <w:rPr>
          <w:rFonts w:hint="eastAsia" w:ascii="楷体_GB2312" w:eastAsia="楷体_GB2312"/>
          <w:b/>
          <w:bCs/>
          <w:sz w:val="32"/>
          <w:szCs w:val="32"/>
        </w:rPr>
        <w:t>顺应市场需求</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目前，国内生物实验室的试剂厂家90%以上是中小型企业，国产试剂起步较晚，缺少完整统一的行业规范及标准。根据沙利文咨询公司的分析，作为分子诊断必不可少的消耗品，近年来国内分子核酸浓度检测试剂的市场规模也在稳定增长，预测2025年将达到数十亿美元左右，市场需求稳步增长。在全球分子类生物试剂市场竞争格局中，目前国内国产试剂市场份额仅占4%左右，与进口试剂形成巨大差距。因此，国产试剂仍有非常大的发展空间。2020年以来，国外疫情控制不力，严重影响进口品牌供应链的稳定性，目前正是国内试剂发展自身品牌的最佳时机。</w:t>
      </w:r>
    </w:p>
    <w:p>
      <w:pPr>
        <w:pStyle w:val="12"/>
        <w:numPr>
          <w:ilvl w:val="0"/>
          <w:numId w:val="1"/>
        </w:numPr>
        <w:spacing w:line="560" w:lineRule="exact"/>
        <w:ind w:firstLineChars="0"/>
        <w:rPr>
          <w:rFonts w:hint="eastAsia" w:ascii="楷体_GB2312" w:eastAsia="楷体_GB2312"/>
          <w:b/>
          <w:bCs/>
          <w:sz w:val="32"/>
          <w:szCs w:val="32"/>
        </w:rPr>
      </w:pPr>
      <w:r>
        <w:rPr>
          <w:rFonts w:hint="eastAsia" w:ascii="楷体_GB2312" w:eastAsia="楷体_GB2312"/>
          <w:b/>
          <w:bCs/>
          <w:sz w:val="32"/>
          <w:szCs w:val="32"/>
        </w:rPr>
        <w:t>降低实验成本</w:t>
      </w:r>
    </w:p>
    <w:p>
      <w:pPr>
        <w:spacing w:line="560" w:lineRule="exact"/>
        <w:ind w:firstLine="640" w:firstLineChars="200"/>
        <w:rPr>
          <w:rFonts w:hint="eastAsia" w:ascii="仿宋_GB2312" w:eastAsia="仿宋_GB2312"/>
          <w:sz w:val="32"/>
          <w:szCs w:val="32"/>
        </w:rPr>
      </w:pPr>
      <w:r>
        <w:rPr>
          <w:rFonts w:hint="eastAsia" w:ascii="仿宋_GB2312" w:hAnsi="Times New Roman" w:eastAsia="仿宋_GB2312" w:cstheme="minorEastAsia"/>
          <w:kern w:val="0"/>
          <w:sz w:val="32"/>
          <w:szCs w:val="32"/>
        </w:rPr>
        <w:t>核酸浓度检测试剂盒</w:t>
      </w:r>
      <w:r>
        <w:rPr>
          <w:rFonts w:hint="eastAsia" w:ascii="仿宋_GB2312" w:eastAsia="仿宋_GB2312"/>
          <w:sz w:val="32"/>
          <w:szCs w:val="32"/>
        </w:rPr>
        <w:t>及其他重要试剂性能验证标准的制定，有助于规范国内</w:t>
      </w:r>
      <w:r>
        <w:rPr>
          <w:rFonts w:hint="eastAsia" w:ascii="仿宋_GB2312" w:hAnsi="Times New Roman" w:eastAsia="仿宋_GB2312" w:cstheme="minorEastAsia"/>
          <w:kern w:val="0"/>
          <w:sz w:val="32"/>
          <w:szCs w:val="32"/>
        </w:rPr>
        <w:t>分子诊断类</w:t>
      </w:r>
      <w:r>
        <w:rPr>
          <w:rFonts w:hint="eastAsia" w:ascii="仿宋_GB2312" w:eastAsia="仿宋_GB2312"/>
          <w:sz w:val="32"/>
          <w:szCs w:val="32"/>
        </w:rPr>
        <w:t>试剂的发展，指导生物实验室及检测机构开展性能验证，避免低质试剂对结果造成干扰，降低实验重做率。随着国内试剂的规范化、高质化和品牌化，将夺回更多的市场份额，其产生的经济效果将会非常可观。</w:t>
      </w:r>
    </w:p>
    <w:p>
      <w:pPr>
        <w:spacing w:line="560" w:lineRule="exact"/>
        <w:ind w:firstLine="640" w:firstLineChars="200"/>
        <w:outlineLvl w:val="0"/>
        <w:rPr>
          <w:rFonts w:hint="eastAsia" w:ascii="黑体" w:hAnsi="黑体" w:eastAsia="黑体"/>
          <w:sz w:val="32"/>
          <w:szCs w:val="32"/>
        </w:rPr>
      </w:pPr>
      <w:r>
        <w:rPr>
          <w:rFonts w:hint="eastAsia" w:ascii="黑体" w:hAnsi="黑体" w:eastAsia="黑体"/>
          <w:sz w:val="32"/>
          <w:szCs w:val="32"/>
        </w:rPr>
        <w:t>四、国内外相关研究依据、技术标准</w:t>
      </w:r>
    </w:p>
    <w:p>
      <w:pPr>
        <w:spacing w:line="560" w:lineRule="exact"/>
        <w:ind w:firstLine="640" w:firstLineChars="200"/>
        <w:rPr>
          <w:rFonts w:hint="eastAsia" w:ascii="仿宋_GB2312" w:hAnsi="Times New Roman" w:eastAsia="仿宋_GB2312" w:cstheme="minorEastAsia"/>
          <w:kern w:val="0"/>
          <w:sz w:val="32"/>
          <w:szCs w:val="32"/>
        </w:rPr>
      </w:pPr>
      <w:r>
        <w:rPr>
          <w:rFonts w:hint="eastAsia" w:ascii="仿宋_GB2312" w:hAnsi="Times New Roman" w:eastAsia="仿宋_GB2312" w:cstheme="minorEastAsia"/>
          <w:kern w:val="0"/>
          <w:sz w:val="32"/>
          <w:szCs w:val="32"/>
        </w:rPr>
        <w:t>针对生物实验分子诊断类试剂核酸浓度检测试剂盒所依赖的性能标准，目前并无完整规范。酶类涉及的标准情况如下：</w:t>
      </w:r>
    </w:p>
    <w:p>
      <w:pPr>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heme="minorEastAsia"/>
          <w:kern w:val="0"/>
          <w:sz w:val="32"/>
          <w:szCs w:val="32"/>
        </w:rPr>
        <w:t>1、国际标准情况：</w:t>
      </w:r>
      <w:r>
        <w:rPr>
          <w:rFonts w:hint="eastAsia" w:ascii="仿宋_GB2312" w:hAnsi="Times New Roman" w:eastAsia="仿宋_GB2312" w:cs="Times New Roman"/>
          <w:sz w:val="32"/>
          <w:szCs w:val="32"/>
        </w:rPr>
        <w:t>无</w:t>
      </w:r>
    </w:p>
    <w:p>
      <w:pPr>
        <w:spacing w:line="560" w:lineRule="exact"/>
        <w:ind w:firstLine="640" w:firstLineChars="200"/>
        <w:rPr>
          <w:rFonts w:hint="eastAsia" w:ascii="仿宋_GB2312" w:hAnsi="Times New Roman" w:eastAsia="仿宋_GB2312" w:cstheme="minorEastAsia"/>
          <w:kern w:val="0"/>
          <w:sz w:val="32"/>
          <w:szCs w:val="32"/>
        </w:rPr>
      </w:pPr>
      <w:r>
        <w:rPr>
          <w:rFonts w:hint="eastAsia" w:ascii="仿宋_GB2312" w:hAnsi="Times New Roman" w:eastAsia="仿宋_GB2312" w:cstheme="minorEastAsia"/>
          <w:kern w:val="0"/>
          <w:sz w:val="32"/>
          <w:szCs w:val="32"/>
        </w:rPr>
        <w:t>2、国内标准情况：</w:t>
      </w:r>
    </w:p>
    <w:p>
      <w:pPr>
        <w:spacing w:line="560" w:lineRule="exact"/>
        <w:ind w:firstLine="640" w:firstLineChars="200"/>
        <w:rPr>
          <w:rFonts w:hint="eastAsia" w:ascii="仿宋_GB2312" w:hAnsi="Times New Roman" w:eastAsia="仿宋_GB2312" w:cstheme="minorEastAsia"/>
          <w:kern w:val="0"/>
          <w:sz w:val="32"/>
          <w:szCs w:val="32"/>
        </w:rPr>
      </w:pPr>
      <w:r>
        <w:rPr>
          <w:rFonts w:hint="eastAsia" w:ascii="仿宋_GB2312" w:hAnsi="Times New Roman" w:eastAsia="仿宋_GB2312" w:cstheme="minorEastAsia"/>
          <w:kern w:val="0"/>
          <w:sz w:val="32"/>
          <w:szCs w:val="32"/>
        </w:rPr>
        <w:t>WS/T 420-2013 《临床实验室对商品定量试剂盒分析性能的验证》</w:t>
      </w:r>
    </w:p>
    <w:p>
      <w:pPr>
        <w:spacing w:line="560" w:lineRule="exact"/>
        <w:ind w:firstLine="640" w:firstLineChars="200"/>
        <w:rPr>
          <w:rFonts w:hint="eastAsia" w:ascii="仿宋_GB2312" w:hAnsi="Times New Roman" w:eastAsia="仿宋_GB2312" w:cstheme="minorEastAsia"/>
          <w:kern w:val="0"/>
          <w:sz w:val="32"/>
          <w:szCs w:val="32"/>
        </w:rPr>
      </w:pPr>
      <w:r>
        <w:rPr>
          <w:rFonts w:hint="eastAsia" w:ascii="仿宋_GB2312" w:hAnsi="Times New Roman" w:eastAsia="仿宋_GB2312" w:cstheme="minorEastAsia"/>
          <w:kern w:val="0"/>
          <w:sz w:val="32"/>
          <w:szCs w:val="32"/>
        </w:rPr>
        <w:t>这些标准并没有专门针对核酸浓度定量的性能要求进行系统完整的规定。</w:t>
      </w:r>
    </w:p>
    <w:p>
      <w:pPr>
        <w:pStyle w:val="12"/>
        <w:numPr>
          <w:ilvl w:val="0"/>
          <w:numId w:val="2"/>
        </w:numPr>
        <w:spacing w:line="560" w:lineRule="exact"/>
        <w:ind w:firstLineChars="0"/>
        <w:outlineLvl w:val="0"/>
        <w:rPr>
          <w:rFonts w:hint="eastAsia" w:ascii="黑体" w:hAnsi="黑体" w:eastAsia="黑体"/>
          <w:sz w:val="32"/>
          <w:szCs w:val="32"/>
        </w:rPr>
      </w:pPr>
      <w:r>
        <w:rPr>
          <w:rFonts w:hint="eastAsia" w:ascii="黑体" w:hAnsi="黑体" w:eastAsia="黑体"/>
          <w:sz w:val="32"/>
          <w:szCs w:val="32"/>
        </w:rPr>
        <w:t>重大分歧意见的处理经过和依据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本标准在编写过程中无重大分歧意见。</w:t>
      </w:r>
    </w:p>
    <w:p>
      <w:pPr>
        <w:pStyle w:val="12"/>
        <w:numPr>
          <w:ilvl w:val="0"/>
          <w:numId w:val="2"/>
        </w:numPr>
        <w:spacing w:line="560" w:lineRule="exact"/>
        <w:ind w:firstLineChars="0"/>
        <w:rPr>
          <w:rFonts w:hint="eastAsia" w:ascii="黑体" w:hAnsi="黑体" w:eastAsia="黑体"/>
          <w:sz w:val="32"/>
          <w:szCs w:val="32"/>
        </w:rPr>
      </w:pPr>
      <w:r>
        <w:rPr>
          <w:rFonts w:hint="eastAsia" w:ascii="黑体" w:hAnsi="黑体" w:eastAsia="黑体"/>
          <w:sz w:val="32"/>
          <w:szCs w:val="32"/>
        </w:rPr>
        <w:t>贯彻深标协标准的要求和措施建议</w:t>
      </w:r>
    </w:p>
    <w:p>
      <w:pPr>
        <w:spacing w:line="560" w:lineRule="exact"/>
        <w:ind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在本标准通过审核、批准发布之后，由相关部门组织力量对本标准进行宣贯，在行业内进行推广。建议本标准自发布6个月之后开始实施。</w:t>
      </w:r>
    </w:p>
    <w:p>
      <w:pPr>
        <w:spacing w:line="560" w:lineRule="exact"/>
        <w:ind w:firstLine="640" w:firstLineChars="200"/>
        <w:rPr>
          <w:rFonts w:hint="eastAsia" w:ascii="仿宋_GB2312" w:eastAsia="仿宋_GB2312" w:cs="Times New Roman" w:hAnsiTheme="minorEastAsia"/>
          <w:sz w:val="32"/>
          <w:szCs w:val="32"/>
        </w:rPr>
      </w:pPr>
      <w:r>
        <w:rPr>
          <w:rFonts w:hint="eastAsia" w:ascii="黑体" w:hAnsi="黑体" w:eastAsia="黑体" w:cs="Times New Roman"/>
          <w:sz w:val="32"/>
          <w:szCs w:val="32"/>
        </w:rPr>
        <w:t>七、</w:t>
      </w:r>
      <w:r>
        <w:rPr>
          <w:rFonts w:hint="eastAsia" w:ascii="黑体" w:hAnsi="黑体" w:eastAsia="黑体"/>
          <w:sz w:val="32"/>
          <w:szCs w:val="32"/>
        </w:rPr>
        <w:t>其他应予说明的事项</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142B48"/>
    <w:multiLevelType w:val="multilevel"/>
    <w:tmpl w:val="07142B48"/>
    <w:lvl w:ilvl="0" w:tentative="0">
      <w:start w:val="5"/>
      <w:numFmt w:val="japaneseCounting"/>
      <w:lvlText w:val="%1、"/>
      <w:lvlJc w:val="left"/>
      <w:pPr>
        <w:ind w:left="1440" w:hanging="720"/>
      </w:pPr>
      <w:rPr>
        <w:rFonts w:hint="default"/>
      </w:rPr>
    </w:lvl>
    <w:lvl w:ilvl="1" w:tentative="0">
      <w:start w:val="1"/>
      <w:numFmt w:val="lowerLetter"/>
      <w:lvlText w:val="%2)"/>
      <w:lvlJc w:val="left"/>
      <w:pPr>
        <w:ind w:left="1600" w:hanging="440"/>
      </w:pPr>
    </w:lvl>
    <w:lvl w:ilvl="2" w:tentative="0">
      <w:start w:val="1"/>
      <w:numFmt w:val="lowerRoman"/>
      <w:lvlText w:val="%3."/>
      <w:lvlJc w:val="right"/>
      <w:pPr>
        <w:ind w:left="2040" w:hanging="440"/>
      </w:pPr>
    </w:lvl>
    <w:lvl w:ilvl="3" w:tentative="0">
      <w:start w:val="1"/>
      <w:numFmt w:val="decimal"/>
      <w:lvlText w:val="%4."/>
      <w:lvlJc w:val="left"/>
      <w:pPr>
        <w:ind w:left="2480" w:hanging="440"/>
      </w:pPr>
    </w:lvl>
    <w:lvl w:ilvl="4" w:tentative="0">
      <w:start w:val="1"/>
      <w:numFmt w:val="lowerLetter"/>
      <w:lvlText w:val="%5)"/>
      <w:lvlJc w:val="left"/>
      <w:pPr>
        <w:ind w:left="2920" w:hanging="440"/>
      </w:pPr>
    </w:lvl>
    <w:lvl w:ilvl="5" w:tentative="0">
      <w:start w:val="1"/>
      <w:numFmt w:val="lowerRoman"/>
      <w:lvlText w:val="%6."/>
      <w:lvlJc w:val="right"/>
      <w:pPr>
        <w:ind w:left="3360" w:hanging="440"/>
      </w:pPr>
    </w:lvl>
    <w:lvl w:ilvl="6" w:tentative="0">
      <w:start w:val="1"/>
      <w:numFmt w:val="decimal"/>
      <w:lvlText w:val="%7."/>
      <w:lvlJc w:val="left"/>
      <w:pPr>
        <w:ind w:left="3800" w:hanging="440"/>
      </w:pPr>
    </w:lvl>
    <w:lvl w:ilvl="7" w:tentative="0">
      <w:start w:val="1"/>
      <w:numFmt w:val="lowerLetter"/>
      <w:lvlText w:val="%8)"/>
      <w:lvlJc w:val="left"/>
      <w:pPr>
        <w:ind w:left="4240" w:hanging="440"/>
      </w:pPr>
    </w:lvl>
    <w:lvl w:ilvl="8" w:tentative="0">
      <w:start w:val="1"/>
      <w:numFmt w:val="lowerRoman"/>
      <w:lvlText w:val="%9."/>
      <w:lvlJc w:val="right"/>
      <w:pPr>
        <w:ind w:left="4680" w:hanging="440"/>
      </w:pPr>
    </w:lvl>
  </w:abstractNum>
  <w:abstractNum w:abstractNumId="1">
    <w:nsid w:val="19B575BE"/>
    <w:multiLevelType w:val="multilevel"/>
    <w:tmpl w:val="19B575BE"/>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lmMGY5ZDA1Zjc3MzBjMDBmMjllNmRiYTc0YjM0YTQifQ=="/>
  </w:docVars>
  <w:rsids>
    <w:rsidRoot w:val="00667620"/>
    <w:rsid w:val="000125ED"/>
    <w:rsid w:val="000156A8"/>
    <w:rsid w:val="00025930"/>
    <w:rsid w:val="00056EA1"/>
    <w:rsid w:val="00056EE1"/>
    <w:rsid w:val="00071F85"/>
    <w:rsid w:val="0008366C"/>
    <w:rsid w:val="00086118"/>
    <w:rsid w:val="000B7920"/>
    <w:rsid w:val="000C7F05"/>
    <w:rsid w:val="000D5395"/>
    <w:rsid w:val="000D6A85"/>
    <w:rsid w:val="000F202F"/>
    <w:rsid w:val="000F7DB9"/>
    <w:rsid w:val="0010038E"/>
    <w:rsid w:val="00102288"/>
    <w:rsid w:val="00106937"/>
    <w:rsid w:val="00114B7A"/>
    <w:rsid w:val="0012124A"/>
    <w:rsid w:val="00150376"/>
    <w:rsid w:val="00152F4A"/>
    <w:rsid w:val="00155D2F"/>
    <w:rsid w:val="00183D62"/>
    <w:rsid w:val="00190AE5"/>
    <w:rsid w:val="001B486B"/>
    <w:rsid w:val="001B5F18"/>
    <w:rsid w:val="001C32E6"/>
    <w:rsid w:val="001D2D61"/>
    <w:rsid w:val="001E692E"/>
    <w:rsid w:val="00205EB8"/>
    <w:rsid w:val="002072A4"/>
    <w:rsid w:val="00224875"/>
    <w:rsid w:val="002317C9"/>
    <w:rsid w:val="00232C65"/>
    <w:rsid w:val="00232F7E"/>
    <w:rsid w:val="00246C33"/>
    <w:rsid w:val="0025113F"/>
    <w:rsid w:val="00261653"/>
    <w:rsid w:val="00261A25"/>
    <w:rsid w:val="002A2CFA"/>
    <w:rsid w:val="002A6498"/>
    <w:rsid w:val="002B7B58"/>
    <w:rsid w:val="002E491A"/>
    <w:rsid w:val="002F2FB6"/>
    <w:rsid w:val="003012E5"/>
    <w:rsid w:val="00313E0E"/>
    <w:rsid w:val="003150CB"/>
    <w:rsid w:val="00315540"/>
    <w:rsid w:val="003373C0"/>
    <w:rsid w:val="003471D4"/>
    <w:rsid w:val="003661C6"/>
    <w:rsid w:val="003708D2"/>
    <w:rsid w:val="00385F2D"/>
    <w:rsid w:val="00394075"/>
    <w:rsid w:val="0039546D"/>
    <w:rsid w:val="003A0A70"/>
    <w:rsid w:val="003A4114"/>
    <w:rsid w:val="003B1656"/>
    <w:rsid w:val="003C73E2"/>
    <w:rsid w:val="003D2394"/>
    <w:rsid w:val="003D34A3"/>
    <w:rsid w:val="003E2DC4"/>
    <w:rsid w:val="003E4320"/>
    <w:rsid w:val="003E5CF4"/>
    <w:rsid w:val="003F13B1"/>
    <w:rsid w:val="00402B18"/>
    <w:rsid w:val="00405877"/>
    <w:rsid w:val="00427CEA"/>
    <w:rsid w:val="004308B3"/>
    <w:rsid w:val="0043112F"/>
    <w:rsid w:val="00447265"/>
    <w:rsid w:val="00457A53"/>
    <w:rsid w:val="00457E39"/>
    <w:rsid w:val="00474F62"/>
    <w:rsid w:val="00474FEC"/>
    <w:rsid w:val="00492790"/>
    <w:rsid w:val="00493D04"/>
    <w:rsid w:val="004A05E1"/>
    <w:rsid w:val="004B599D"/>
    <w:rsid w:val="004C13E9"/>
    <w:rsid w:val="004C4896"/>
    <w:rsid w:val="004C5A63"/>
    <w:rsid w:val="004D7C15"/>
    <w:rsid w:val="004E23B1"/>
    <w:rsid w:val="004F6205"/>
    <w:rsid w:val="00500849"/>
    <w:rsid w:val="005028A9"/>
    <w:rsid w:val="00505E45"/>
    <w:rsid w:val="005115F5"/>
    <w:rsid w:val="00523077"/>
    <w:rsid w:val="00541F1C"/>
    <w:rsid w:val="00545251"/>
    <w:rsid w:val="00552FB5"/>
    <w:rsid w:val="00554FC5"/>
    <w:rsid w:val="00595A8D"/>
    <w:rsid w:val="005969A7"/>
    <w:rsid w:val="00597F63"/>
    <w:rsid w:val="005B6429"/>
    <w:rsid w:val="005C171B"/>
    <w:rsid w:val="005C2D1B"/>
    <w:rsid w:val="005D2A97"/>
    <w:rsid w:val="005E13A0"/>
    <w:rsid w:val="005E2A33"/>
    <w:rsid w:val="005E2D05"/>
    <w:rsid w:val="00617727"/>
    <w:rsid w:val="006209F5"/>
    <w:rsid w:val="00625D64"/>
    <w:rsid w:val="00631C82"/>
    <w:rsid w:val="00642021"/>
    <w:rsid w:val="00647359"/>
    <w:rsid w:val="00650760"/>
    <w:rsid w:val="0066227F"/>
    <w:rsid w:val="00667620"/>
    <w:rsid w:val="00667CB8"/>
    <w:rsid w:val="00671A54"/>
    <w:rsid w:val="006732CB"/>
    <w:rsid w:val="006A6036"/>
    <w:rsid w:val="006B0019"/>
    <w:rsid w:val="006B1E14"/>
    <w:rsid w:val="006E1085"/>
    <w:rsid w:val="006E7556"/>
    <w:rsid w:val="006F2B59"/>
    <w:rsid w:val="00707F4C"/>
    <w:rsid w:val="00717E2E"/>
    <w:rsid w:val="007222D1"/>
    <w:rsid w:val="0072666B"/>
    <w:rsid w:val="007315D7"/>
    <w:rsid w:val="00731DA9"/>
    <w:rsid w:val="007352EF"/>
    <w:rsid w:val="007357F7"/>
    <w:rsid w:val="00740F38"/>
    <w:rsid w:val="00743BA7"/>
    <w:rsid w:val="00744233"/>
    <w:rsid w:val="0074552E"/>
    <w:rsid w:val="00745CE5"/>
    <w:rsid w:val="00751D2C"/>
    <w:rsid w:val="00753B10"/>
    <w:rsid w:val="0076439B"/>
    <w:rsid w:val="00775016"/>
    <w:rsid w:val="007833DB"/>
    <w:rsid w:val="00784805"/>
    <w:rsid w:val="007924D2"/>
    <w:rsid w:val="007968A7"/>
    <w:rsid w:val="007B6205"/>
    <w:rsid w:val="007C387B"/>
    <w:rsid w:val="007C4DA1"/>
    <w:rsid w:val="007D3464"/>
    <w:rsid w:val="007D5F16"/>
    <w:rsid w:val="007D641F"/>
    <w:rsid w:val="007E101F"/>
    <w:rsid w:val="007E20B5"/>
    <w:rsid w:val="007F1732"/>
    <w:rsid w:val="007F3BF8"/>
    <w:rsid w:val="0080084B"/>
    <w:rsid w:val="00801D31"/>
    <w:rsid w:val="00816188"/>
    <w:rsid w:val="008229E0"/>
    <w:rsid w:val="00831CB7"/>
    <w:rsid w:val="008336AF"/>
    <w:rsid w:val="008348D9"/>
    <w:rsid w:val="00863576"/>
    <w:rsid w:val="00867C2C"/>
    <w:rsid w:val="008806D2"/>
    <w:rsid w:val="0088385D"/>
    <w:rsid w:val="008926FF"/>
    <w:rsid w:val="00897B3D"/>
    <w:rsid w:val="008B16E0"/>
    <w:rsid w:val="008B6D30"/>
    <w:rsid w:val="008D58D0"/>
    <w:rsid w:val="008E2405"/>
    <w:rsid w:val="008E6FCB"/>
    <w:rsid w:val="008F319B"/>
    <w:rsid w:val="00900C1C"/>
    <w:rsid w:val="00906C12"/>
    <w:rsid w:val="00912521"/>
    <w:rsid w:val="00917187"/>
    <w:rsid w:val="0092120B"/>
    <w:rsid w:val="009247D6"/>
    <w:rsid w:val="00926D88"/>
    <w:rsid w:val="00933582"/>
    <w:rsid w:val="00937FA3"/>
    <w:rsid w:val="00947FAC"/>
    <w:rsid w:val="00955408"/>
    <w:rsid w:val="009556DE"/>
    <w:rsid w:val="00956EF2"/>
    <w:rsid w:val="00963429"/>
    <w:rsid w:val="00963AD5"/>
    <w:rsid w:val="00975651"/>
    <w:rsid w:val="009A6751"/>
    <w:rsid w:val="009C3F82"/>
    <w:rsid w:val="009C54EF"/>
    <w:rsid w:val="009E57FC"/>
    <w:rsid w:val="009F4027"/>
    <w:rsid w:val="009F52E9"/>
    <w:rsid w:val="009F7210"/>
    <w:rsid w:val="00A01FFD"/>
    <w:rsid w:val="00A073B4"/>
    <w:rsid w:val="00A07DAE"/>
    <w:rsid w:val="00A116F5"/>
    <w:rsid w:val="00A14C5D"/>
    <w:rsid w:val="00A1649D"/>
    <w:rsid w:val="00A22629"/>
    <w:rsid w:val="00A251DE"/>
    <w:rsid w:val="00A27DD8"/>
    <w:rsid w:val="00A37E8A"/>
    <w:rsid w:val="00A4214E"/>
    <w:rsid w:val="00A43BFF"/>
    <w:rsid w:val="00A71FCB"/>
    <w:rsid w:val="00A7229E"/>
    <w:rsid w:val="00A7789B"/>
    <w:rsid w:val="00A862BF"/>
    <w:rsid w:val="00A87659"/>
    <w:rsid w:val="00A94163"/>
    <w:rsid w:val="00AA62B3"/>
    <w:rsid w:val="00AB3BF7"/>
    <w:rsid w:val="00AC6995"/>
    <w:rsid w:val="00AD0F05"/>
    <w:rsid w:val="00AE7CF2"/>
    <w:rsid w:val="00AF0012"/>
    <w:rsid w:val="00B01103"/>
    <w:rsid w:val="00B0305A"/>
    <w:rsid w:val="00B0619E"/>
    <w:rsid w:val="00B159DC"/>
    <w:rsid w:val="00B23001"/>
    <w:rsid w:val="00B32126"/>
    <w:rsid w:val="00B35CBA"/>
    <w:rsid w:val="00B44FFC"/>
    <w:rsid w:val="00B6128E"/>
    <w:rsid w:val="00B62173"/>
    <w:rsid w:val="00B626BF"/>
    <w:rsid w:val="00B6558C"/>
    <w:rsid w:val="00B73920"/>
    <w:rsid w:val="00B75686"/>
    <w:rsid w:val="00B818BB"/>
    <w:rsid w:val="00B908C2"/>
    <w:rsid w:val="00B93256"/>
    <w:rsid w:val="00B937EB"/>
    <w:rsid w:val="00BA06A2"/>
    <w:rsid w:val="00BB1058"/>
    <w:rsid w:val="00BB2D11"/>
    <w:rsid w:val="00BD3640"/>
    <w:rsid w:val="00BD4F95"/>
    <w:rsid w:val="00BD73C1"/>
    <w:rsid w:val="00BE0BF2"/>
    <w:rsid w:val="00BE6879"/>
    <w:rsid w:val="00C025A9"/>
    <w:rsid w:val="00C207C8"/>
    <w:rsid w:val="00C27BE8"/>
    <w:rsid w:val="00C43F19"/>
    <w:rsid w:val="00C44F2D"/>
    <w:rsid w:val="00C45CEB"/>
    <w:rsid w:val="00C53DFC"/>
    <w:rsid w:val="00C54E5D"/>
    <w:rsid w:val="00C57BE0"/>
    <w:rsid w:val="00C655BF"/>
    <w:rsid w:val="00C75A89"/>
    <w:rsid w:val="00C76CF6"/>
    <w:rsid w:val="00C81C0E"/>
    <w:rsid w:val="00C909C2"/>
    <w:rsid w:val="00CA0222"/>
    <w:rsid w:val="00CA61DB"/>
    <w:rsid w:val="00CB74AA"/>
    <w:rsid w:val="00CB79CD"/>
    <w:rsid w:val="00CC57F1"/>
    <w:rsid w:val="00CC5916"/>
    <w:rsid w:val="00CE71E1"/>
    <w:rsid w:val="00CF21E7"/>
    <w:rsid w:val="00CF6053"/>
    <w:rsid w:val="00CF7763"/>
    <w:rsid w:val="00D10B01"/>
    <w:rsid w:val="00D13672"/>
    <w:rsid w:val="00D271A7"/>
    <w:rsid w:val="00D30B71"/>
    <w:rsid w:val="00D31651"/>
    <w:rsid w:val="00D32C40"/>
    <w:rsid w:val="00D4642D"/>
    <w:rsid w:val="00D5507C"/>
    <w:rsid w:val="00D669FC"/>
    <w:rsid w:val="00DA2CC4"/>
    <w:rsid w:val="00DC5BC6"/>
    <w:rsid w:val="00DD180A"/>
    <w:rsid w:val="00DD1D81"/>
    <w:rsid w:val="00E004FA"/>
    <w:rsid w:val="00E01056"/>
    <w:rsid w:val="00E052A3"/>
    <w:rsid w:val="00E209D8"/>
    <w:rsid w:val="00E22B59"/>
    <w:rsid w:val="00E509D6"/>
    <w:rsid w:val="00E6251E"/>
    <w:rsid w:val="00E649B1"/>
    <w:rsid w:val="00E6685C"/>
    <w:rsid w:val="00E673F0"/>
    <w:rsid w:val="00E722D8"/>
    <w:rsid w:val="00EB626E"/>
    <w:rsid w:val="00EB6AD4"/>
    <w:rsid w:val="00EC6770"/>
    <w:rsid w:val="00EC77D6"/>
    <w:rsid w:val="00ED1552"/>
    <w:rsid w:val="00ED790F"/>
    <w:rsid w:val="00EF25FB"/>
    <w:rsid w:val="00F00C1F"/>
    <w:rsid w:val="00F10D1A"/>
    <w:rsid w:val="00F271D9"/>
    <w:rsid w:val="00F40D64"/>
    <w:rsid w:val="00F61767"/>
    <w:rsid w:val="00F64D00"/>
    <w:rsid w:val="00F73604"/>
    <w:rsid w:val="00F82C04"/>
    <w:rsid w:val="00F8408A"/>
    <w:rsid w:val="00F92640"/>
    <w:rsid w:val="00FC065F"/>
    <w:rsid w:val="00FD0B9F"/>
    <w:rsid w:val="00FD3145"/>
    <w:rsid w:val="00FD7068"/>
    <w:rsid w:val="00FF09C1"/>
    <w:rsid w:val="22937175"/>
    <w:rsid w:val="64577B15"/>
    <w:rsid w:val="669323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7">
    <w:name w:val="annotation subject"/>
    <w:basedOn w:val="2"/>
    <w:next w:val="2"/>
    <w:link w:val="14"/>
    <w:semiHidden/>
    <w:unhideWhenUsed/>
    <w:uiPriority w:val="99"/>
    <w:rPr>
      <w:b/>
      <w:bCs/>
    </w:rPr>
  </w:style>
  <w:style w:type="character" w:styleId="10">
    <w:name w:val="Hyperlink"/>
    <w:basedOn w:val="9"/>
    <w:semiHidden/>
    <w:unhideWhenUsed/>
    <w:qFormat/>
    <w:uiPriority w:val="99"/>
    <w:rPr>
      <w:color w:val="0000FF"/>
      <w:u w:val="single"/>
    </w:rPr>
  </w:style>
  <w:style w:type="character" w:styleId="11">
    <w:name w:val="annotation reference"/>
    <w:basedOn w:val="9"/>
    <w:semiHidden/>
    <w:unhideWhenUsed/>
    <w:qFormat/>
    <w:uiPriority w:val="99"/>
    <w:rPr>
      <w:sz w:val="21"/>
      <w:szCs w:val="21"/>
    </w:rPr>
  </w:style>
  <w:style w:type="paragraph" w:styleId="12">
    <w:name w:val="List Paragraph"/>
    <w:basedOn w:val="1"/>
    <w:qFormat/>
    <w:uiPriority w:val="99"/>
    <w:pPr>
      <w:ind w:firstLine="420" w:firstLineChars="200"/>
    </w:pPr>
  </w:style>
  <w:style w:type="character" w:customStyle="1" w:styleId="13">
    <w:name w:val="批注文字 字符"/>
    <w:basedOn w:val="9"/>
    <w:link w:val="2"/>
    <w:semiHidden/>
    <w:qFormat/>
    <w:uiPriority w:val="99"/>
    <w:rPr>
      <w:szCs w:val="24"/>
    </w:rPr>
  </w:style>
  <w:style w:type="character" w:customStyle="1" w:styleId="14">
    <w:name w:val="批注主题 字符"/>
    <w:basedOn w:val="13"/>
    <w:link w:val="7"/>
    <w:semiHidden/>
    <w:qFormat/>
    <w:uiPriority w:val="99"/>
    <w:rPr>
      <w:b/>
      <w:bCs/>
      <w:szCs w:val="24"/>
    </w:rPr>
  </w:style>
  <w:style w:type="character" w:customStyle="1" w:styleId="15">
    <w:name w:val="批注框文本 字符"/>
    <w:basedOn w:val="9"/>
    <w:link w:val="3"/>
    <w:semiHidden/>
    <w:qFormat/>
    <w:uiPriority w:val="99"/>
    <w:rPr>
      <w:sz w:val="18"/>
      <w:szCs w:val="18"/>
    </w:rPr>
  </w:style>
  <w:style w:type="character" w:customStyle="1" w:styleId="16">
    <w:name w:val="页眉 字符"/>
    <w:basedOn w:val="9"/>
    <w:link w:val="5"/>
    <w:qFormat/>
    <w:uiPriority w:val="99"/>
    <w:rPr>
      <w:sz w:val="18"/>
      <w:szCs w:val="18"/>
    </w:rPr>
  </w:style>
  <w:style w:type="character" w:customStyle="1" w:styleId="17">
    <w:name w:val="页脚 字符"/>
    <w:basedOn w:val="9"/>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2855</Words>
  <Characters>2935</Characters>
  <Lines>21</Lines>
  <Paragraphs>5</Paragraphs>
  <TotalTime>240</TotalTime>
  <ScaleCrop>false</ScaleCrop>
  <LinksUpToDate>false</LinksUpToDate>
  <CharactersWithSpaces>2939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2023-06-14T06:56:00Z</dcterms:created>
  <dc:creator>ASUS</dc:creator>
  <cp:lastModifiedBy>WPS_1402464897</cp:lastModifiedBy>
  <dcterms:modified xsi:type="dcterms:W3CDTF">2023-06-25T08:57:18Z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E6751F7CB93F4FF2BFD91E40BC914A24_13</vt:lpwstr>
  </property>
</Properties>
</file>