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theme="minorEastAsia"/>
          <w:sz w:val="32"/>
          <w:szCs w:val="32"/>
        </w:rPr>
      </w:pPr>
      <w:r>
        <w:rPr>
          <w:rFonts w:hint="eastAsia" w:ascii="黑体" w:hAnsi="黑体" w:eastAsia="黑体" w:cstheme="minorEastAsia"/>
          <w:sz w:val="32"/>
          <w:szCs w:val="32"/>
        </w:rPr>
        <w:t>附件2</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《微孔板封口膜性能验证》编制说明</w:t>
      </w:r>
    </w:p>
    <w:p>
      <w:pPr>
        <w:pStyle w:val="12"/>
        <w:numPr>
          <w:numId w:val="0"/>
        </w:numPr>
        <w:spacing w:line="360" w:lineRule="auto"/>
        <w:ind w:leftChars="0"/>
        <w:outlineLvl w:val="0"/>
        <w:rPr>
          <w:rFonts w:hint="eastAsia" w:ascii="黑体" w:hAnsi="黑体" w:eastAsia="黑体"/>
          <w:sz w:val="24"/>
        </w:rPr>
      </w:pPr>
    </w:p>
    <w:p>
      <w:pPr>
        <w:pStyle w:val="12"/>
        <w:keepNext w:val="0"/>
        <w:keepLines w:val="0"/>
        <w:pageBreakBefore w:val="0"/>
        <w:numPr>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工作简况</w:t>
      </w:r>
    </w:p>
    <w:p>
      <w:pPr>
        <w:pStyle w:val="12"/>
        <w:keepNext w:val="0"/>
        <w:keepLines w:val="0"/>
        <w:pageBreakBefore w:val="0"/>
        <w:numPr>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任务来源</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2022年3月，由深圳市标准化协会批准团体标准《</w:t>
      </w:r>
      <w:bookmarkStart w:id="0" w:name="_Hlk132987289"/>
      <w:r>
        <w:rPr>
          <w:rFonts w:hint="eastAsia" w:ascii="仿宋" w:hAnsi="仿宋" w:eastAsia="仿宋" w:cs="仿宋"/>
          <w:sz w:val="32"/>
          <w:szCs w:val="32"/>
        </w:rPr>
        <w:t>微孔板封口膜性能验证</w:t>
      </w:r>
      <w:bookmarkEnd w:id="0"/>
      <w:r>
        <w:rPr>
          <w:rFonts w:hint="eastAsia" w:ascii="仿宋" w:hAnsi="仿宋" w:eastAsia="仿宋" w:cs="仿宋"/>
          <w:sz w:val="32"/>
          <w:szCs w:val="32"/>
        </w:rPr>
        <w:t>》立项。由深圳华大医学检验实验室提出，由深圳市标准化协会归口，起草工作组由深圳华大医学检验实验室、深圳华大基因股份有限公司、BGI HEALTH (HK) CO., LTD、幅纳薄膜材料（上海）有限公司、深圳市诚立信包装材料有限公司、杭州博日科技股份有限公司、永岳医疗科技（昆山）有限公司、苏州康容生物医疗科技有限公司、深圳逗点生物技术有限公司、深圳艾维迪泰生物科技有限公司、惠州帝恩科技有限公司、杭州爱津生物技术有限公司、东莞市积健生物科技有限公司、苏州亚通生物医疗科技有限公司、苏州晨旭生物科技有限公司、嘉兴凯实生物科技股份有限公司、苏州赛普生物科技有限公司共同组成。</w:t>
      </w:r>
    </w:p>
    <w:p>
      <w:pPr>
        <w:pStyle w:val="1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2.编制背景、目的和意义</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分子生物学是从分子水平研究生物大分子的结构与功能，从而阐明生命现象本质的科学。当前最前沿的基因测序，精准医疗都属于分子生物学范畴。分子生物学实验要求极高的灵敏度和精准度，有效地控制实验质量，保证结果的准确性。影响分子生物学实验结果的因素很多，在众多影响因素中，耗材是一个非常重要但极易被忽视的问题。</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分子生物学的常用耗材有滤芯吸头，无酶无热源吸头，PCR 板，一次性封口膜等。其中一次性封口膜是一种复合材料，其作用主要是对样品进行密封，防止样品挥发、污染，无气味析出。分子生物学实验中使用的一次性封口膜材质有多种，如塑料膜、铝箔膜等，有单片及单卷包装等多种规格，封装的工作温度可从常温到 180C，根据使用场景及密封效果来选定。</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在实验过程中，如果一次性封口膜存在污染</w:t>
      </w:r>
      <w:r>
        <w:rPr>
          <w:rFonts w:hint="eastAsia" w:ascii="仿宋" w:hAnsi="仿宋" w:eastAsia="仿宋" w:cs="仿宋"/>
          <w:kern w:val="0"/>
          <w:sz w:val="32"/>
          <w:szCs w:val="32"/>
          <w:lang w:eastAsia="zh-CN"/>
        </w:rPr>
        <w:t>，或是</w:t>
      </w:r>
      <w:r>
        <w:rPr>
          <w:rFonts w:hint="eastAsia" w:ascii="仿宋" w:hAnsi="仿宋" w:eastAsia="仿宋" w:cs="仿宋"/>
          <w:kern w:val="0"/>
          <w:sz w:val="32"/>
          <w:szCs w:val="32"/>
        </w:rPr>
        <w:t>抑制剂的引入，就会影响实验结果</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材质、工作温度选择不当会影响密封效果，导致样品交叉污染从而影响结果</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另外，一次性封口膜要求易封易撕无残留。因此，一次性封口膜的各项性能必须满足分子生物学的实验需求，使用前必须经过严格的性能验证。</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目前，一次性封口膜暂无国家标准，仅查询到一份食品行业的团体标准，且并无针对分子生物学实验一次性封口膜的对应标准。随着科学技术的发展，尤其是医疗水平的不断提高，核酸检测概念逐渐深入人心，微孔板封口膜的市场需求量越来越大，市场上各品牌产品质量良养不齐，急需制定相应标准对其进行规范统一。</w:t>
      </w:r>
    </w:p>
    <w:p>
      <w:pPr>
        <w:pStyle w:val="1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3.简要编制过程</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3.1前期准备</w:t>
      </w:r>
    </w:p>
    <w:p>
      <w:pPr>
        <w:pStyle w:val="12"/>
        <w:keepNext w:val="0"/>
        <w:keepLines w:val="0"/>
        <w:pageBreakBefore w:val="0"/>
        <w:numPr>
          <w:numId w:val="0"/>
        </w:numPr>
        <w:tabs>
          <w:tab w:val="left" w:pos="709"/>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2022年1月2日，深圳华大医学检验实验室联合深圳华大基因股份有限公司、BGI HEALTH (HK) CO., LTD、幅纳薄膜材料（上海）有限公司、深圳市诚立信包装材料有限公司、杭州博日科技股份有限公司、永岳医疗科技（昆山）有限公司、苏州康容生物医疗科技有限公司、深圳逗点生物技术有限公司、深圳艾维迪泰生物科技有限公司、惠州帝恩科技有限公司、杭州爱津生物技术有限公司、东莞市积健生物科技有限公司、苏州亚通生物医疗科技有限公司、苏州晨旭生物科技有限公司、嘉兴凯实生物科技股份有限公司、苏州赛普生物科技有限公司成立了标准编制小组。标准编制小组对国内外</w:t>
      </w:r>
      <w:r>
        <w:rPr>
          <w:rFonts w:hint="eastAsia" w:ascii="仿宋" w:hAnsi="仿宋" w:eastAsia="仿宋" w:cs="仿宋"/>
          <w:color w:val="000000"/>
          <w:sz w:val="32"/>
          <w:szCs w:val="32"/>
        </w:rPr>
        <w:t>微孔板封口膜</w:t>
      </w:r>
      <w:r>
        <w:rPr>
          <w:rFonts w:hint="eastAsia" w:ascii="仿宋" w:hAnsi="仿宋" w:eastAsia="仿宋" w:cs="仿宋"/>
          <w:sz w:val="32"/>
          <w:szCs w:val="32"/>
        </w:rPr>
        <w:t>性能验证标准的发展状况，发展趋势，存在问题等进行全面系统调研。对调研资料加以整理分析，起草标准的初步框架。</w:t>
      </w:r>
    </w:p>
    <w:p>
      <w:pPr>
        <w:pStyle w:val="12"/>
        <w:keepNext w:val="0"/>
        <w:keepLines w:val="0"/>
        <w:pageBreakBefore w:val="0"/>
        <w:numPr>
          <w:numId w:val="0"/>
        </w:numPr>
        <w:tabs>
          <w:tab w:val="left" w:pos="709"/>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b.</w:t>
      </w:r>
      <w:r>
        <w:rPr>
          <w:rFonts w:hint="eastAsia" w:ascii="仿宋" w:hAnsi="仿宋" w:eastAsia="仿宋" w:cs="仿宋"/>
          <w:sz w:val="32"/>
          <w:szCs w:val="32"/>
        </w:rPr>
        <w:t>2022年2月19日，召开第一次起草工作会议，初步确定标准编制的原则和标准的框架内容，并根据会议结论，起草了标准的草案。</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3.2标准立项 </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2022年3月28日，深圳市标准协会批准《微孔板封口膜性能验证》的立项。</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sz w:val="32"/>
          <w:szCs w:val="32"/>
        </w:rPr>
        <w:t>3.3修改标准草案</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2022年7月22日，召开第二次起草组会议，主要讨论本标准的范围，此次研讨会后，经过修改形成工作组第二稿。</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2023年1月15日，召开第三次起草组会议，主要研究讨论各条款的准确性、实用性和可维护性。经过这次讨论，编制小组根据讨论结果进行修改，基本确定标准的内容。此外，对标准的语言与格式进行了规范。</w:t>
      </w:r>
      <w:bookmarkStart w:id="1" w:name="_GoBack"/>
      <w:bookmarkEnd w:id="1"/>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期间，编制小组也不断完善草案，进行内容上的更新，格式上的修改，以保证草案的质量。</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3.4形成征求意见稿、挂网征求意见</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2023年5月-2023年6月，起草工作组将标准草案发送给耗材制生产商、耗材供应商、研究所等各单位的专家，就草案进行讨论，征求意见和建议。同时，深圳市标准化协会将征求意见稿提交至全国标准信息平台和深圳市标准化协会官方微信公众号，广泛征求建议。结合各单位各专家对草案的反馈建议，修改完善草案，形成标准送审稿。</w:t>
      </w:r>
    </w:p>
    <w:p>
      <w:pPr>
        <w:pStyle w:val="1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二、制标原则/依据和主要内容</w:t>
      </w:r>
    </w:p>
    <w:p>
      <w:pPr>
        <w:pStyle w:val="1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1.制标原则/依据</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1.1依法原则</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以现行法律法规的规定和相关标准为基础。本标准中的约束性条款首先应与这些法律法规、强制性标准的要求保持一致，并在必要情况下予以细化和延伸，但总体上不得有悖于法律法规和强制性标准的要求。</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1.2实用性原则</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标准的编写结合了塑料离心管的应用现状、性能要求、验证方法等方面的实际情况。标准化的微孔板封口膜性能验证对耗材质量控制，实验结果准确性、稳定性具有必要意义，可指导各实验室和检测机构建立自己的耗材质检标准和规范。标准的编制过程中，考虑了耗材性能验证的基本原则和标准操作规程，便于推广应用。</w:t>
      </w:r>
    </w:p>
    <w:p>
      <w:pPr>
        <w:pStyle w:val="1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2.主要内容</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2.1规范了微孔板封口膜性能验证的相关术语和定义；</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2.2规范了微孔板封口膜的分类；</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2.3规范了微孔板封口膜的性能要求；</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2.4规范了微孔板封口膜性能验证的方法；</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2.5规范了微孔板封口膜性能验证及判定的规则。</w:t>
      </w:r>
    </w:p>
    <w:p>
      <w:pPr>
        <w:pStyle w:val="1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三、产业化情况和预期的经济效果</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微孔板封口膜作为生物实验的承载物及自动化设备配套的一次性实验室耗材，在分子诊断的所有实际应用场景中都必不可少。在分子诊断相关公司、检验所、实验室，微孔板封口膜的消耗量都非常大，通常占采购清单的前几位。</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目前，国内生物实验室的一次性塑料耗材厂家90%以上是中小型企业，国产耗材起步较晚，缺少统一的行业规范及标准。根据沙利文咨询公司的测算，作为分子诊断必不可少的消耗品，近年来国内一次性塑料耗材的市场规模也在稳定增长，年复合增长率在15%左右，但远远低于国内分子诊断的复合增长率26%；同时，从2016-2018年，国内国产耗材市场份额仅占5%左右，与进口耗材形成巨大差距。因此，国产耗材仍有非常大的发展空间。2020年以来，国外疫情控制不力，严重影响进口品牌供应链的稳定性，目前正是国内一次性塑料耗材发展自身品牌的最佳时机。微孔板封口膜及其他重要耗材性能验证标准的制定，有助于规范国内耗材的发展，指导生物实验室及检测机构开展性能验证，避免低质耗材对结果造成干扰，降低实验重做率。随着国内耗材的规范化、高质化、品牌化，将夺回更多的市场份额，其产生的经济效果将会非常可观。</w:t>
      </w:r>
    </w:p>
    <w:p>
      <w:pPr>
        <w:pStyle w:val="1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四、国内外相关研究依据、技术标准</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针对生物实验耗材微孔板封口膜所依赖的性能标准，目前并无完整规范。耗材涉及的标准情况如下：</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国际标准情况：</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无</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国内标准情况：</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T/ZZB1713-2020《食品包装用塑料与铝箔复合封口膜》，浙江诚信包装材料有限公司；</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这些标准并没有专门针对微孔板封口膜性能要求进行系统的规定，多数标准仅规范塑料离心管生产工艺及尺寸。</w:t>
      </w:r>
    </w:p>
    <w:p>
      <w:pPr>
        <w:pStyle w:val="1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五、重大分歧意见的处理经过和依据</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本标准在编写过程中无重大分歧意见。</w:t>
      </w:r>
    </w:p>
    <w:p>
      <w:pPr>
        <w:pStyle w:val="1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六、贯彻深标协标准的要求和措施建议</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在本标准通过审核、批准发布之后，由相关部门组织力量对本标准进行宣贯，在行业内进行推广。建议本标准自发布6个月之后开始实施。</w:t>
      </w:r>
    </w:p>
    <w:p>
      <w:pPr>
        <w:pStyle w:val="1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七、其他应予说明的事项</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无。</w:t>
      </w:r>
    </w:p>
    <w:p>
      <w:pPr>
        <w:keepNext w:val="0"/>
        <w:keepLines w:val="0"/>
        <w:pageBreakBefore w:val="0"/>
        <w:kinsoku/>
        <w:wordWrap/>
        <w:overflowPunct/>
        <w:topLinePunct w:val="0"/>
        <w:autoSpaceDE/>
        <w:autoSpaceDN/>
        <w:bidi w:val="0"/>
        <w:adjustRightInd/>
        <w:snapToGrid/>
        <w:spacing w:line="560" w:lineRule="exact"/>
        <w:ind w:left="0"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xODU5NGQ3MWU4NjBjMjVhNmY2YjgwMTdjYmE1YmUifQ=="/>
  </w:docVars>
  <w:rsids>
    <w:rsidRoot w:val="00667620"/>
    <w:rsid w:val="00016D56"/>
    <w:rsid w:val="00025930"/>
    <w:rsid w:val="00056EA1"/>
    <w:rsid w:val="00071F85"/>
    <w:rsid w:val="00086118"/>
    <w:rsid w:val="000F202F"/>
    <w:rsid w:val="00102288"/>
    <w:rsid w:val="0012124A"/>
    <w:rsid w:val="00152F4A"/>
    <w:rsid w:val="001B486B"/>
    <w:rsid w:val="001C32E6"/>
    <w:rsid w:val="00232C65"/>
    <w:rsid w:val="00232F7E"/>
    <w:rsid w:val="00246C33"/>
    <w:rsid w:val="0025113F"/>
    <w:rsid w:val="00261653"/>
    <w:rsid w:val="002A2CFA"/>
    <w:rsid w:val="002A6498"/>
    <w:rsid w:val="002B7B58"/>
    <w:rsid w:val="00304A5B"/>
    <w:rsid w:val="00313E0E"/>
    <w:rsid w:val="003661C6"/>
    <w:rsid w:val="003708D2"/>
    <w:rsid w:val="00385F2D"/>
    <w:rsid w:val="00394075"/>
    <w:rsid w:val="0039546D"/>
    <w:rsid w:val="003A0A70"/>
    <w:rsid w:val="003B1656"/>
    <w:rsid w:val="003C73E2"/>
    <w:rsid w:val="003D0747"/>
    <w:rsid w:val="003D2394"/>
    <w:rsid w:val="003D7029"/>
    <w:rsid w:val="00402B18"/>
    <w:rsid w:val="00447265"/>
    <w:rsid w:val="00457E39"/>
    <w:rsid w:val="00470853"/>
    <w:rsid w:val="00474F62"/>
    <w:rsid w:val="00474FEC"/>
    <w:rsid w:val="00493D04"/>
    <w:rsid w:val="004A05E1"/>
    <w:rsid w:val="004C13E9"/>
    <w:rsid w:val="004C4896"/>
    <w:rsid w:val="004E23B1"/>
    <w:rsid w:val="004F6205"/>
    <w:rsid w:val="00500849"/>
    <w:rsid w:val="005115F5"/>
    <w:rsid w:val="00545251"/>
    <w:rsid w:val="0059602A"/>
    <w:rsid w:val="00597F63"/>
    <w:rsid w:val="005B611F"/>
    <w:rsid w:val="005C171B"/>
    <w:rsid w:val="005D2A97"/>
    <w:rsid w:val="005E13A0"/>
    <w:rsid w:val="005E2A33"/>
    <w:rsid w:val="006209F5"/>
    <w:rsid w:val="00625D64"/>
    <w:rsid w:val="00642021"/>
    <w:rsid w:val="00647359"/>
    <w:rsid w:val="00650760"/>
    <w:rsid w:val="0066227F"/>
    <w:rsid w:val="00667620"/>
    <w:rsid w:val="00667CB8"/>
    <w:rsid w:val="006B1E14"/>
    <w:rsid w:val="006D42B5"/>
    <w:rsid w:val="006E1085"/>
    <w:rsid w:val="006F2B59"/>
    <w:rsid w:val="007013D1"/>
    <w:rsid w:val="00707F4C"/>
    <w:rsid w:val="007222D1"/>
    <w:rsid w:val="0072666B"/>
    <w:rsid w:val="007315D7"/>
    <w:rsid w:val="00731DA9"/>
    <w:rsid w:val="007352EF"/>
    <w:rsid w:val="0074552E"/>
    <w:rsid w:val="00745CE5"/>
    <w:rsid w:val="00753B10"/>
    <w:rsid w:val="0076439B"/>
    <w:rsid w:val="00784805"/>
    <w:rsid w:val="007924D2"/>
    <w:rsid w:val="007C387B"/>
    <w:rsid w:val="007D3464"/>
    <w:rsid w:val="007D641F"/>
    <w:rsid w:val="007E101F"/>
    <w:rsid w:val="0080084B"/>
    <w:rsid w:val="00801D31"/>
    <w:rsid w:val="008229E0"/>
    <w:rsid w:val="00831CB7"/>
    <w:rsid w:val="008348D9"/>
    <w:rsid w:val="008806D2"/>
    <w:rsid w:val="008926FF"/>
    <w:rsid w:val="008B16E0"/>
    <w:rsid w:val="008B6D30"/>
    <w:rsid w:val="008D58D0"/>
    <w:rsid w:val="008E2405"/>
    <w:rsid w:val="008E579D"/>
    <w:rsid w:val="008E6FCB"/>
    <w:rsid w:val="008F319B"/>
    <w:rsid w:val="00906C12"/>
    <w:rsid w:val="00917187"/>
    <w:rsid w:val="0092120B"/>
    <w:rsid w:val="00933582"/>
    <w:rsid w:val="00955408"/>
    <w:rsid w:val="009556DE"/>
    <w:rsid w:val="00956EF2"/>
    <w:rsid w:val="00975651"/>
    <w:rsid w:val="009A6751"/>
    <w:rsid w:val="009C54EF"/>
    <w:rsid w:val="009E57FC"/>
    <w:rsid w:val="009F4027"/>
    <w:rsid w:val="009F52E9"/>
    <w:rsid w:val="00A01FFD"/>
    <w:rsid w:val="00A073B4"/>
    <w:rsid w:val="00A07DAE"/>
    <w:rsid w:val="00A116F5"/>
    <w:rsid w:val="00A14C5D"/>
    <w:rsid w:val="00A1649D"/>
    <w:rsid w:val="00A22629"/>
    <w:rsid w:val="00A2423D"/>
    <w:rsid w:val="00A71FCB"/>
    <w:rsid w:val="00A7229E"/>
    <w:rsid w:val="00A7789B"/>
    <w:rsid w:val="00A862BF"/>
    <w:rsid w:val="00A94163"/>
    <w:rsid w:val="00AA62B3"/>
    <w:rsid w:val="00AB3BF7"/>
    <w:rsid w:val="00AC6995"/>
    <w:rsid w:val="00AD0F05"/>
    <w:rsid w:val="00AE7CF2"/>
    <w:rsid w:val="00AF0012"/>
    <w:rsid w:val="00B01103"/>
    <w:rsid w:val="00B0305A"/>
    <w:rsid w:val="00B1460F"/>
    <w:rsid w:val="00B159DC"/>
    <w:rsid w:val="00B35CBA"/>
    <w:rsid w:val="00B6128E"/>
    <w:rsid w:val="00B626BF"/>
    <w:rsid w:val="00B6558C"/>
    <w:rsid w:val="00B75686"/>
    <w:rsid w:val="00B937EB"/>
    <w:rsid w:val="00BB1058"/>
    <w:rsid w:val="00BB2D11"/>
    <w:rsid w:val="00BD3640"/>
    <w:rsid w:val="00BD4F95"/>
    <w:rsid w:val="00BE6879"/>
    <w:rsid w:val="00C07E5C"/>
    <w:rsid w:val="00C27BE8"/>
    <w:rsid w:val="00C43F19"/>
    <w:rsid w:val="00C44F2D"/>
    <w:rsid w:val="00C53DFC"/>
    <w:rsid w:val="00C54E5D"/>
    <w:rsid w:val="00C75A89"/>
    <w:rsid w:val="00C81C0E"/>
    <w:rsid w:val="00CA0222"/>
    <w:rsid w:val="00CA61DB"/>
    <w:rsid w:val="00CB79CD"/>
    <w:rsid w:val="00CC57F1"/>
    <w:rsid w:val="00CC5916"/>
    <w:rsid w:val="00CF21E7"/>
    <w:rsid w:val="00CF7763"/>
    <w:rsid w:val="00D31651"/>
    <w:rsid w:val="00D32C40"/>
    <w:rsid w:val="00D4642D"/>
    <w:rsid w:val="00D5507C"/>
    <w:rsid w:val="00D669FC"/>
    <w:rsid w:val="00D67442"/>
    <w:rsid w:val="00DB03F7"/>
    <w:rsid w:val="00DC5BC6"/>
    <w:rsid w:val="00DD1D81"/>
    <w:rsid w:val="00E004FA"/>
    <w:rsid w:val="00E01056"/>
    <w:rsid w:val="00E052A3"/>
    <w:rsid w:val="00E209D8"/>
    <w:rsid w:val="00E509D6"/>
    <w:rsid w:val="00E649B1"/>
    <w:rsid w:val="00E6685C"/>
    <w:rsid w:val="00E722D8"/>
    <w:rsid w:val="00EB626E"/>
    <w:rsid w:val="00EB6AD4"/>
    <w:rsid w:val="00EC77D6"/>
    <w:rsid w:val="00ED1552"/>
    <w:rsid w:val="00ED790F"/>
    <w:rsid w:val="00EF25FB"/>
    <w:rsid w:val="00F0191D"/>
    <w:rsid w:val="00F10D1A"/>
    <w:rsid w:val="00F40D64"/>
    <w:rsid w:val="00F64D00"/>
    <w:rsid w:val="00F73604"/>
    <w:rsid w:val="00F92640"/>
    <w:rsid w:val="00FC065F"/>
    <w:rsid w:val="00FD3145"/>
    <w:rsid w:val="00FE26BC"/>
    <w:rsid w:val="00FF09C1"/>
    <w:rsid w:val="04923517"/>
    <w:rsid w:val="24F66C50"/>
    <w:rsid w:val="36E56ACA"/>
    <w:rsid w:val="52505342"/>
    <w:rsid w:val="6648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7"/>
    <w:unhideWhenUsed/>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7">
    <w:name w:val="annotation subject"/>
    <w:basedOn w:val="2"/>
    <w:next w:val="2"/>
    <w:link w:val="14"/>
    <w:semiHidden/>
    <w:unhideWhenUsed/>
    <w:qFormat/>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uiPriority w:val="99"/>
    <w:rPr>
      <w:sz w:val="21"/>
      <w:szCs w:val="21"/>
    </w:rPr>
  </w:style>
  <w:style w:type="paragraph" w:styleId="12">
    <w:name w:val="List Paragraph"/>
    <w:basedOn w:val="1"/>
    <w:qFormat/>
    <w:uiPriority w:val="99"/>
    <w:pPr>
      <w:ind w:firstLine="420" w:firstLineChars="200"/>
    </w:pPr>
  </w:style>
  <w:style w:type="character" w:customStyle="1" w:styleId="13">
    <w:name w:val="批注文字 字符"/>
    <w:basedOn w:val="9"/>
    <w:link w:val="2"/>
    <w:semiHidden/>
    <w:uiPriority w:val="99"/>
    <w:rPr>
      <w:szCs w:val="24"/>
    </w:rPr>
  </w:style>
  <w:style w:type="character" w:customStyle="1" w:styleId="14">
    <w:name w:val="批注主题 字符"/>
    <w:basedOn w:val="13"/>
    <w:link w:val="7"/>
    <w:semiHidden/>
    <w:uiPriority w:val="99"/>
    <w:rPr>
      <w:b/>
      <w:bCs/>
      <w:szCs w:val="24"/>
    </w:rPr>
  </w:style>
  <w:style w:type="character" w:customStyle="1" w:styleId="15">
    <w:name w:val="批注框文本 字符"/>
    <w:basedOn w:val="9"/>
    <w:link w:val="3"/>
    <w:semiHidden/>
    <w:uiPriority w:val="99"/>
    <w:rPr>
      <w:sz w:val="18"/>
      <w:szCs w:val="18"/>
    </w:rPr>
  </w:style>
  <w:style w:type="character" w:customStyle="1" w:styleId="16">
    <w:name w:val="页眉 字符"/>
    <w:basedOn w:val="9"/>
    <w:link w:val="5"/>
    <w:uiPriority w:val="99"/>
    <w:rPr>
      <w:sz w:val="18"/>
      <w:szCs w:val="18"/>
    </w:rPr>
  </w:style>
  <w:style w:type="character" w:customStyle="1" w:styleId="17">
    <w:name w:val="页脚 字符"/>
    <w:basedOn w:val="9"/>
    <w:link w:val="4"/>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2810</Words>
  <Characters>2938</Characters>
  <Lines>21</Lines>
  <Paragraphs>5</Paragraphs>
  <TotalTime>15</TotalTime>
  <ScaleCrop>false</ScaleCrop>
  <LinksUpToDate>false</LinksUpToDate>
  <CharactersWithSpaces>2949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2023-04-27T09:25:00Z</dcterms:created>
  <dc:creator>ASUS</dc:creator>
  <cp:lastModifiedBy>cheryl</cp:lastModifiedBy>
  <dcterms:modified xsi:type="dcterms:W3CDTF">2023-05-06T02:45:17Z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E94B3366198E4B02B4842EF699D5691B_12</vt:lpwstr>
  </property>
</Properties>
</file>