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theme="minorEastAsia"/>
          <w:sz w:val="32"/>
          <w:szCs w:val="32"/>
        </w:rPr>
      </w:pPr>
      <w:bookmarkStart w:id="0" w:name="_GoBack"/>
      <w:bookmarkEnd w:id="0"/>
      <w:r>
        <w:rPr>
          <w:rFonts w:hint="eastAsia" w:ascii="黑体" w:hAnsi="黑体" w:eastAsia="黑体" w:cstheme="minorEastAsia"/>
          <w:sz w:val="32"/>
          <w:szCs w:val="32"/>
        </w:rPr>
        <w:t>附件2</w:t>
      </w:r>
    </w:p>
    <w:p>
      <w:pPr>
        <w:pStyle w:val="12"/>
        <w:numPr>
          <w:ilvl w:val="0"/>
          <w:numId w:val="0"/>
        </w:numPr>
        <w:spacing w:line="360" w:lineRule="auto"/>
        <w:ind w:leftChars="0"/>
        <w:jc w:val="center"/>
        <w:outlineLvl w:val="0"/>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《塑料离心管性能验证（征求意见稿）》</w:t>
      </w:r>
    </w:p>
    <w:p>
      <w:pPr>
        <w:pStyle w:val="12"/>
        <w:numPr>
          <w:ilvl w:val="0"/>
          <w:numId w:val="0"/>
        </w:numPr>
        <w:spacing w:line="360" w:lineRule="auto"/>
        <w:ind w:leftChars="0"/>
        <w:jc w:val="center"/>
        <w:outlineLvl w:val="0"/>
        <w:rPr>
          <w:rFonts w:hint="eastAsia" w:asciiTheme="minorEastAsia" w:hAnsiTheme="minorEastAsia" w:cstheme="minorEastAsia"/>
          <w:b/>
          <w:bCs/>
          <w:sz w:val="44"/>
          <w:szCs w:val="44"/>
        </w:rPr>
      </w:pPr>
      <w:r>
        <w:rPr>
          <w:rFonts w:hint="eastAsia" w:asciiTheme="minorEastAsia" w:hAnsiTheme="minorEastAsia" w:cstheme="minorEastAsia"/>
          <w:b/>
          <w:bCs/>
          <w:sz w:val="44"/>
          <w:szCs w:val="44"/>
        </w:rPr>
        <w:t>编制说明</w:t>
      </w:r>
    </w:p>
    <w:p>
      <w:pPr>
        <w:pStyle w:val="12"/>
        <w:numPr>
          <w:ilvl w:val="0"/>
          <w:numId w:val="0"/>
        </w:numPr>
        <w:spacing w:line="360" w:lineRule="auto"/>
        <w:ind w:leftChars="0"/>
        <w:jc w:val="left"/>
        <w:outlineLvl w:val="0"/>
        <w:rPr>
          <w:rFonts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工作简况</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任务来源</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2022年3月，由深圳市标准化协会批准团体标准《塑料离心管性能验证》立项。由深圳华大医学检验实验室提出，由深圳市标准化协会归口，起草工作组由深圳华大医学检验实验室、深圳华大基因股份有限公司、BGI HEALTH (HK) CO., LTD、惠州帝恩科技有限公司、生工生物工程（上海）股份有限公司、杭州爱津生物技术有限公司、东莞市积健生物科技有限公司、苏州亚通生物医疗科技有限公司、无锡国盛生物工程有限公司、广东蓝光智能科技有限公司、苏州晨旭生物科技有限公司、永岳医疗科技（昆山）有限公司、嘉兴凯实生物科技股份有限公司、浙江博毓生物科技有限公司、安徽博日生物科技有限公司、苏州康容生物医疗科技有限公司、杭州博日科技股份有限公司、苏州赛普生物科技有限公司、思纳福（太仓）医疗耗材有限公司、上海科进生物技术有限公司、江苏康健医疗用品有限公司、浙江硕华生命科学研究股份有限公司共同组成。</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编制背景、目的和意义</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离心技术在生物科学，特别是生物化学和分子生物学研究领域，已得到十分广泛的应用，离心技术主要用千各种生物样品的分离和制备，也是实验室中常用的分离、纯化或澄清的方法。塑料离心管作为离心过程中承载分离样品的容器，是离心技术中必不可少的一次性耗材。塑料离心管的优点是透明或半透明，便千观察样本情况，能抗有机溶剂，耐腐蚀。常用材料有聚乙烯、聚丙烯等。在实验过程中，如果塑料离心管耗材存在污染、或是抑制剂的引入，甚至耗材选择不当都会对结果造成很大干扰。因此，各实验室及检测机构在开展实验前，如何有效的挑选合适的离心管并进行性能验证显得尤为重要。</w:t>
      </w:r>
    </w:p>
    <w:p>
      <w:pPr>
        <w:pStyle w:val="1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简要编制过程</w:t>
      </w:r>
    </w:p>
    <w:p>
      <w:pPr>
        <w:keepNext w:val="0"/>
        <w:keepLines w:val="0"/>
        <w:pageBreakBefore w:val="0"/>
        <w:kinsoku/>
        <w:wordWrap/>
        <w:overflowPunct/>
        <w:topLinePunct w:val="0"/>
        <w:autoSpaceDE/>
        <w:autoSpaceDN/>
        <w:bidi w:val="0"/>
        <w:adjustRightInd/>
        <w:snapToGrid/>
        <w:spacing w:before="156" w:beforeLines="50" w:after="156" w:afterLines="5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3.1前期准备</w:t>
      </w:r>
    </w:p>
    <w:p>
      <w:pPr>
        <w:pStyle w:val="12"/>
        <w:keepNext w:val="0"/>
        <w:keepLines w:val="0"/>
        <w:pageBreakBefore w:val="0"/>
        <w:numPr>
          <w:ilvl w:val="0"/>
          <w:numId w:val="0"/>
        </w:numPr>
        <w:tabs>
          <w:tab w:val="left" w:pos="709"/>
        </w:tabs>
        <w:kinsoku/>
        <w:wordWrap/>
        <w:overflowPunct/>
        <w:topLinePunct w:val="0"/>
        <w:autoSpaceDE/>
        <w:autoSpaceDN/>
        <w:bidi w:val="0"/>
        <w:adjustRightInd/>
        <w:snapToGrid/>
        <w:spacing w:before="50" w:after="5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2022年1月2日，深圳华大医学检验实验室联合深圳华大基因股份有限公司、惠州帝恩科技有限公司、生工生物工程（上海）股份有限公司、杭州爱津生物技术有限公司、东莞市积健生物科技有限公司、苏州亚通生物医疗科技有限公司、无锡国盛生物工程有限公司、广东蓝光智能科技有限公司、苏州晨旭生物科技有限公司、永岳医疗科技（昆山）有限公司、嘉兴凯实生物科技股份有限公司、浙江博毓生物科技有限公司、安徽博日生物科技有限公司、苏州康容生物医疗科技有限公司、杭州博日科技股份有限公司、苏州赛普生物科技有限公司、思纳福（太仓）医疗耗材有限公司、上海科进生物技术有限公司、江苏康健医疗用品有限公司、浙江硕华生命科学研究股份有限公司成立了标准编制小组。标准编制小组对国内外塑料离心管性能验证标准的发展状况，发展趋势，存在问题等进行全面系统调研。对调研资料加以整理分析，起草标准的初步框架。</w:t>
      </w:r>
    </w:p>
    <w:p>
      <w:pPr>
        <w:pStyle w:val="12"/>
        <w:keepNext w:val="0"/>
        <w:keepLines w:val="0"/>
        <w:pageBreakBefore w:val="0"/>
        <w:numPr>
          <w:ilvl w:val="0"/>
          <w:numId w:val="0"/>
        </w:numPr>
        <w:tabs>
          <w:tab w:val="left" w:pos="709"/>
        </w:tabs>
        <w:kinsoku/>
        <w:wordWrap/>
        <w:overflowPunct/>
        <w:topLinePunct w:val="0"/>
        <w:autoSpaceDE/>
        <w:autoSpaceDN/>
        <w:bidi w:val="0"/>
        <w:adjustRightInd/>
        <w:snapToGrid/>
        <w:spacing w:before="50" w:after="5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2022年2月19日，召开第一次起草工作会议，初步确定标准编制的原则和标准的框架内容，并根据会议结论，起草了标准的草案。</w:t>
      </w:r>
    </w:p>
    <w:p>
      <w:pPr>
        <w:keepNext w:val="0"/>
        <w:keepLines w:val="0"/>
        <w:pageBreakBefore w:val="0"/>
        <w:kinsoku/>
        <w:wordWrap/>
        <w:overflowPunct/>
        <w:topLinePunct w:val="0"/>
        <w:autoSpaceDE/>
        <w:autoSpaceDN/>
        <w:bidi w:val="0"/>
        <w:adjustRightInd/>
        <w:snapToGrid/>
        <w:spacing w:before="156" w:beforeLines="50" w:after="156" w:afterLines="50"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3.2标准立项 </w:t>
      </w:r>
    </w:p>
    <w:p>
      <w:pPr>
        <w:keepNext w:val="0"/>
        <w:keepLines w:val="0"/>
        <w:pageBreakBefore w:val="0"/>
        <w:kinsoku/>
        <w:wordWrap/>
        <w:overflowPunct/>
        <w:topLinePunct w:val="0"/>
        <w:autoSpaceDE/>
        <w:autoSpaceDN/>
        <w:bidi w:val="0"/>
        <w:adjustRightInd/>
        <w:snapToGrid/>
        <w:spacing w:before="50" w:after="50" w:line="560" w:lineRule="exact"/>
        <w:ind w:left="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2022年3月28日，深圳市标准协会批准《塑料离心管性能验证》的立项。</w:t>
      </w:r>
    </w:p>
    <w:p>
      <w:pPr>
        <w:keepNext w:val="0"/>
        <w:keepLines w:val="0"/>
        <w:pageBreakBefore w:val="0"/>
        <w:kinsoku/>
        <w:wordWrap/>
        <w:overflowPunct/>
        <w:topLinePunct w:val="0"/>
        <w:autoSpaceDE/>
        <w:autoSpaceDN/>
        <w:bidi w:val="0"/>
        <w:adjustRightInd/>
        <w:snapToGrid/>
        <w:spacing w:before="156" w:beforeLines="50" w:after="156" w:afterLines="50" w:line="560" w:lineRule="exact"/>
        <w:ind w:lef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3.3修改标准草案</w:t>
      </w:r>
    </w:p>
    <w:p>
      <w:pPr>
        <w:pStyle w:val="6"/>
        <w:keepNext w:val="0"/>
        <w:keepLines w:val="0"/>
        <w:pageBreakBefore w:val="0"/>
        <w:kinsoku/>
        <w:wordWrap/>
        <w:overflowPunct/>
        <w:topLinePunct w:val="0"/>
        <w:autoSpaceDE/>
        <w:autoSpaceDN/>
        <w:bidi w:val="0"/>
        <w:adjustRightInd/>
        <w:snapToGrid/>
        <w:spacing w:before="50" w:beforeAutospacing="0" w:after="50" w:afterAutospacing="0"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2022年7月22日，召开第二次起草组会议，主要讨论本标准的范围，此次研讨会后，经过修改形成工作组第二稿。</w:t>
      </w:r>
    </w:p>
    <w:p>
      <w:pPr>
        <w:pStyle w:val="6"/>
        <w:keepNext w:val="0"/>
        <w:keepLines w:val="0"/>
        <w:pageBreakBefore w:val="0"/>
        <w:kinsoku/>
        <w:wordWrap/>
        <w:overflowPunct/>
        <w:topLinePunct w:val="0"/>
        <w:autoSpaceDE/>
        <w:autoSpaceDN/>
        <w:bidi w:val="0"/>
        <w:adjustRightInd/>
        <w:snapToGrid/>
        <w:spacing w:before="50" w:beforeAutospacing="0" w:after="50" w:afterAutospacing="0"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2023年1月15日，召开第三次起草组会议，主要研究讨论各条款的准确性、实用性和可维护性。经过这次讨论，编制小组根据讨论结果进行修改，基本确定标准的内容。此外，对标准的语言与格式进行了规范。</w:t>
      </w:r>
    </w:p>
    <w:p>
      <w:pPr>
        <w:pStyle w:val="6"/>
        <w:keepNext w:val="0"/>
        <w:keepLines w:val="0"/>
        <w:pageBreakBefore w:val="0"/>
        <w:kinsoku/>
        <w:wordWrap/>
        <w:overflowPunct/>
        <w:topLinePunct w:val="0"/>
        <w:autoSpaceDE/>
        <w:autoSpaceDN/>
        <w:bidi w:val="0"/>
        <w:adjustRightInd/>
        <w:snapToGrid/>
        <w:spacing w:before="50" w:beforeAutospacing="0" w:after="50" w:afterAutospacing="0"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期间，编制小组也不断完善草案，进行内容上的更新，格式上的修改，以保证草案的质量。</w:t>
      </w:r>
    </w:p>
    <w:p>
      <w:pPr>
        <w:pStyle w:val="6"/>
        <w:keepNext w:val="0"/>
        <w:keepLines w:val="0"/>
        <w:pageBreakBefore w:val="0"/>
        <w:kinsoku/>
        <w:wordWrap/>
        <w:overflowPunct/>
        <w:topLinePunct w:val="0"/>
        <w:autoSpaceDE/>
        <w:autoSpaceDN/>
        <w:bidi w:val="0"/>
        <w:adjustRightInd/>
        <w:snapToGrid/>
        <w:spacing w:before="156" w:beforeLines="50" w:beforeAutospacing="0" w:after="156" w:afterLines="5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3.4形成征求意见稿 、挂网征求意见</w:t>
      </w:r>
    </w:p>
    <w:p>
      <w:pPr>
        <w:pStyle w:val="6"/>
        <w:keepNext w:val="0"/>
        <w:keepLines w:val="0"/>
        <w:pageBreakBefore w:val="0"/>
        <w:kinsoku/>
        <w:wordWrap/>
        <w:overflowPunct/>
        <w:topLinePunct w:val="0"/>
        <w:autoSpaceDE/>
        <w:autoSpaceDN/>
        <w:bidi w:val="0"/>
        <w:adjustRightInd/>
        <w:snapToGrid/>
        <w:spacing w:before="50" w:beforeAutospacing="0" w:after="50" w:afterAutospacing="0" w:line="560"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2023年5月-2023年6月，起草工作组将标准草案发送给耗材制生产商、耗材供应商、研究所等各单位的专家，就草案进行讨论，征求意见和建议。同时，深圳市标准化协会将征求意见稿提交至全国标准信息平台和深圳市标准化协会官方微信公众号，广泛征求建议。结合各单位各专家对草案的反馈建议，修改完善草案，形成标准送审稿。</w:t>
      </w:r>
    </w:p>
    <w:p>
      <w:pPr>
        <w:pStyle w:val="12"/>
        <w:numPr>
          <w:ilvl w:val="0"/>
          <w:numId w:val="0"/>
        </w:numPr>
        <w:spacing w:line="360" w:lineRule="auto"/>
        <w:ind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二、制标原则/依据和主要内容</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制标原则/依据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1.1依法原则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以现行法律法规的规定和相关标准为基础。本标准中的约束性条款首先应与这些法律法规、强制性标准的要求保持一致，并在必要情况下予以细化和延伸，但总体上不得有悖于法律法规和强制性标准的要求。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1.2实用性原则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标准的编写结合了塑料离心管的应用现状、性能要求、验证方法等方面的实际情况。标准化的塑料离心管性能验证对耗材质量控制，实验结果准确性、稳定性具有必要意义，可指导各实验室和检测机构建立自己的耗材质检标准和规范。标准的编制过程中，考虑了耗材性能验证的基本原则和标准操作规程，便于推广应用。</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outlineLvl w:val="1"/>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2.1规范了塑料离心管性能验证的相关术语和定义；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2.2规范了塑料离心管的分类；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2.3规范了塑料离心管的性能要求；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2.4规范了塑料离心管性能验证的方法；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2.5规范了塑料离心管性能验证及判定的规则。</w:t>
      </w:r>
    </w:p>
    <w:p>
      <w:pPr>
        <w:pStyle w:val="12"/>
        <w:numPr>
          <w:ilvl w:val="0"/>
          <w:numId w:val="0"/>
        </w:numPr>
        <w:spacing w:line="360" w:lineRule="auto"/>
        <w:ind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三、产业化情况和预期的经济效果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塑料离心管作为生物实验的承载物及自动化设备配套的一次性实验室耗材，在分子诊断的所有实际应用场景中都必不可少。在分子诊断相关公司、检验所、实验室，塑料离心管的消耗量都非常大，通常占采购清单的前几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前，国内生物实验室的一次性塑料耗材厂家90%以上是中小型企业，国产耗材起步较晚，缺少统一的行业规范及标准。根据沙利文咨询公司的测算，作为分子诊断必不可少的消耗品，近年来国内一次性塑料耗材的市场规模也在稳定增长，年复合增长率在15%左右，但远远低于国内分子诊断的复合增长率26%；同时，从2016-2018年，国内国产耗材市场份额仅占5%左右，与进口耗材形成巨大差距。因此，国产耗材仍有非常大的发展空间。2020年以来，国外疫情控制不力，严重影响进口品牌供应链的稳定性，目前正是国内一次性塑料耗材发展自身品牌的最佳时机。塑料离心管及其他重要耗材性能验证标准的制定，有助于规范国内一次性耗材的发展，指导生物实验室及检测机构开展性能验证，避免低质耗材对结果造成干扰，降低实验重做率。随着国内耗材的规范化、高质化、品牌化，将夺回更多的市场份额，其产生的经济效果将会非常可观。</w:t>
      </w:r>
    </w:p>
    <w:p>
      <w:pPr>
        <w:pStyle w:val="12"/>
        <w:numPr>
          <w:ilvl w:val="0"/>
          <w:numId w:val="0"/>
        </w:numPr>
        <w:spacing w:line="360" w:lineRule="auto"/>
        <w:ind w:leftChars="0"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四、国内外相关研究依据、技术标准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针对生物实验一次性塑料耗材塑料离心管所依赖的性能标准，目前并无完整规范。耗材涉及的标准情况如下：</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1.</w:t>
      </w:r>
      <w:r>
        <w:rPr>
          <w:rFonts w:hint="eastAsia" w:ascii="仿宋" w:hAnsi="仿宋" w:eastAsia="仿宋" w:cs="仿宋"/>
          <w:b/>
          <w:bCs/>
          <w:kern w:val="0"/>
          <w:sz w:val="32"/>
          <w:szCs w:val="32"/>
        </w:rPr>
        <w:t>国际标准情况：</w:t>
      </w:r>
    </w:p>
    <w:p>
      <w:pPr>
        <w:pStyle w:val="12"/>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无</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2.</w:t>
      </w:r>
      <w:r>
        <w:rPr>
          <w:rFonts w:hint="eastAsia" w:ascii="仿宋" w:hAnsi="仿宋" w:eastAsia="仿宋" w:cs="仿宋"/>
          <w:b/>
          <w:bCs/>
          <w:kern w:val="0"/>
          <w:sz w:val="32"/>
          <w:szCs w:val="32"/>
        </w:rPr>
        <w:t>国内标准情况：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DB44/t 1549-2015《一次性塑料离心管》，废止，广州洁特生物过滤制品有限公司；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Q/YS-QC-SOP-002-2020《塑料离心管/管》，嘉兴懿铄精密模具有限公司</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这些标准并没有专门针对塑料离心管性能要求进行系统的规定，多数标准仅规范塑料离心管生产工艺及尺寸。</w:t>
      </w:r>
    </w:p>
    <w:p>
      <w:pPr>
        <w:pStyle w:val="12"/>
        <w:numPr>
          <w:ilvl w:val="0"/>
          <w:numId w:val="0"/>
        </w:numPr>
        <w:spacing w:line="360" w:lineRule="auto"/>
        <w:ind w:leftChars="0"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五、重大分歧意见的处理经过和依据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本标准在编写过程中无重大分歧意见。</w:t>
      </w:r>
    </w:p>
    <w:p>
      <w:pPr>
        <w:pStyle w:val="12"/>
        <w:numPr>
          <w:ilvl w:val="0"/>
          <w:numId w:val="0"/>
        </w:numPr>
        <w:spacing w:line="360" w:lineRule="auto"/>
        <w:ind w:leftChars="0"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六、贯彻深标协标准的要求和措施建议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在本标准通过审核、批准发布之后，由相关部门组织力量对本标准进行宣贯，在行业内进行推广。建议本标准自发布6个月之后开始实施。</w:t>
      </w:r>
    </w:p>
    <w:p>
      <w:pPr>
        <w:pStyle w:val="12"/>
        <w:numPr>
          <w:ilvl w:val="0"/>
          <w:numId w:val="0"/>
        </w:numPr>
        <w:spacing w:line="360" w:lineRule="auto"/>
        <w:ind w:leftChars="0" w:firstLine="640" w:firstLineChars="200"/>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七、其他应予说明的事项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xODU5NGQ3MWU4NjBjMjVhNmY2YjgwMTdjYmE1YmUifQ=="/>
  </w:docVars>
  <w:rsids>
    <w:rsidRoot w:val="00667620"/>
    <w:rsid w:val="00016D56"/>
    <w:rsid w:val="00025930"/>
    <w:rsid w:val="00056EA1"/>
    <w:rsid w:val="00071F85"/>
    <w:rsid w:val="00086118"/>
    <w:rsid w:val="000F202F"/>
    <w:rsid w:val="00102288"/>
    <w:rsid w:val="0012124A"/>
    <w:rsid w:val="00152F4A"/>
    <w:rsid w:val="001B486B"/>
    <w:rsid w:val="001C15B2"/>
    <w:rsid w:val="001C32E6"/>
    <w:rsid w:val="001D2592"/>
    <w:rsid w:val="00232C65"/>
    <w:rsid w:val="00232F7E"/>
    <w:rsid w:val="00246C33"/>
    <w:rsid w:val="0025113F"/>
    <w:rsid w:val="00261653"/>
    <w:rsid w:val="002A2CFA"/>
    <w:rsid w:val="002A6498"/>
    <w:rsid w:val="002B7B58"/>
    <w:rsid w:val="00313E0E"/>
    <w:rsid w:val="003661C6"/>
    <w:rsid w:val="003708D2"/>
    <w:rsid w:val="00385F2D"/>
    <w:rsid w:val="00394075"/>
    <w:rsid w:val="0039546D"/>
    <w:rsid w:val="003A0A70"/>
    <w:rsid w:val="003B1656"/>
    <w:rsid w:val="003C73E2"/>
    <w:rsid w:val="003D2394"/>
    <w:rsid w:val="003D7029"/>
    <w:rsid w:val="00402B18"/>
    <w:rsid w:val="00447265"/>
    <w:rsid w:val="00457E39"/>
    <w:rsid w:val="00470853"/>
    <w:rsid w:val="00474F62"/>
    <w:rsid w:val="00474FEC"/>
    <w:rsid w:val="00493D04"/>
    <w:rsid w:val="004A05E1"/>
    <w:rsid w:val="004C13E9"/>
    <w:rsid w:val="004C4896"/>
    <w:rsid w:val="004E23B1"/>
    <w:rsid w:val="004F6205"/>
    <w:rsid w:val="00500849"/>
    <w:rsid w:val="005115F5"/>
    <w:rsid w:val="00545251"/>
    <w:rsid w:val="00597F63"/>
    <w:rsid w:val="005A7599"/>
    <w:rsid w:val="005B611F"/>
    <w:rsid w:val="005C171B"/>
    <w:rsid w:val="005D2A97"/>
    <w:rsid w:val="005E13A0"/>
    <w:rsid w:val="005E2A33"/>
    <w:rsid w:val="006209F5"/>
    <w:rsid w:val="00625D64"/>
    <w:rsid w:val="00642021"/>
    <w:rsid w:val="00647359"/>
    <w:rsid w:val="00650760"/>
    <w:rsid w:val="0066227F"/>
    <w:rsid w:val="00667620"/>
    <w:rsid w:val="00667CB8"/>
    <w:rsid w:val="006B1E14"/>
    <w:rsid w:val="006D42B5"/>
    <w:rsid w:val="006E1085"/>
    <w:rsid w:val="006F2B59"/>
    <w:rsid w:val="00707F4C"/>
    <w:rsid w:val="007222D1"/>
    <w:rsid w:val="0072666B"/>
    <w:rsid w:val="007315D7"/>
    <w:rsid w:val="00731DA9"/>
    <w:rsid w:val="007352EF"/>
    <w:rsid w:val="0074552E"/>
    <w:rsid w:val="00745CE5"/>
    <w:rsid w:val="00753B10"/>
    <w:rsid w:val="0076439B"/>
    <w:rsid w:val="00784805"/>
    <w:rsid w:val="007924D2"/>
    <w:rsid w:val="007949F9"/>
    <w:rsid w:val="007C387B"/>
    <w:rsid w:val="007D3464"/>
    <w:rsid w:val="007D641F"/>
    <w:rsid w:val="007E101F"/>
    <w:rsid w:val="0080084B"/>
    <w:rsid w:val="00801D31"/>
    <w:rsid w:val="00807D3F"/>
    <w:rsid w:val="008229E0"/>
    <w:rsid w:val="00831CB7"/>
    <w:rsid w:val="008348D9"/>
    <w:rsid w:val="008806D2"/>
    <w:rsid w:val="008926FF"/>
    <w:rsid w:val="008B16E0"/>
    <w:rsid w:val="008B6D30"/>
    <w:rsid w:val="008D58D0"/>
    <w:rsid w:val="008E2405"/>
    <w:rsid w:val="008E579D"/>
    <w:rsid w:val="008E6FCB"/>
    <w:rsid w:val="008E773D"/>
    <w:rsid w:val="008F319B"/>
    <w:rsid w:val="00906C12"/>
    <w:rsid w:val="00917187"/>
    <w:rsid w:val="0092120B"/>
    <w:rsid w:val="00933582"/>
    <w:rsid w:val="00955408"/>
    <w:rsid w:val="009556DE"/>
    <w:rsid w:val="00956EF2"/>
    <w:rsid w:val="00975651"/>
    <w:rsid w:val="009A6751"/>
    <w:rsid w:val="009C54EF"/>
    <w:rsid w:val="009E57FC"/>
    <w:rsid w:val="009F4027"/>
    <w:rsid w:val="009F52E9"/>
    <w:rsid w:val="00A01FFD"/>
    <w:rsid w:val="00A073B4"/>
    <w:rsid w:val="00A07670"/>
    <w:rsid w:val="00A07DAE"/>
    <w:rsid w:val="00A116F5"/>
    <w:rsid w:val="00A14C5D"/>
    <w:rsid w:val="00A1649D"/>
    <w:rsid w:val="00A22629"/>
    <w:rsid w:val="00A71FCB"/>
    <w:rsid w:val="00A7229E"/>
    <w:rsid w:val="00A7789B"/>
    <w:rsid w:val="00A862BF"/>
    <w:rsid w:val="00A94163"/>
    <w:rsid w:val="00AA62B3"/>
    <w:rsid w:val="00AB3BF7"/>
    <w:rsid w:val="00AC6995"/>
    <w:rsid w:val="00AD0F05"/>
    <w:rsid w:val="00AE7CF2"/>
    <w:rsid w:val="00AF0012"/>
    <w:rsid w:val="00AF5ED4"/>
    <w:rsid w:val="00B01103"/>
    <w:rsid w:val="00B0305A"/>
    <w:rsid w:val="00B159DC"/>
    <w:rsid w:val="00B35CBA"/>
    <w:rsid w:val="00B6128E"/>
    <w:rsid w:val="00B626BF"/>
    <w:rsid w:val="00B6558C"/>
    <w:rsid w:val="00B75686"/>
    <w:rsid w:val="00B937EB"/>
    <w:rsid w:val="00BB1058"/>
    <w:rsid w:val="00BB2D11"/>
    <w:rsid w:val="00BD3640"/>
    <w:rsid w:val="00BD4F95"/>
    <w:rsid w:val="00BE6879"/>
    <w:rsid w:val="00C07E5C"/>
    <w:rsid w:val="00C27BE8"/>
    <w:rsid w:val="00C43F19"/>
    <w:rsid w:val="00C44F2D"/>
    <w:rsid w:val="00C53DFC"/>
    <w:rsid w:val="00C54E5D"/>
    <w:rsid w:val="00C75A89"/>
    <w:rsid w:val="00C81C0E"/>
    <w:rsid w:val="00C838B8"/>
    <w:rsid w:val="00CA0222"/>
    <w:rsid w:val="00CA09F4"/>
    <w:rsid w:val="00CA61DB"/>
    <w:rsid w:val="00CB79CD"/>
    <w:rsid w:val="00CC57F1"/>
    <w:rsid w:val="00CC5916"/>
    <w:rsid w:val="00CF21E7"/>
    <w:rsid w:val="00CF7763"/>
    <w:rsid w:val="00D31651"/>
    <w:rsid w:val="00D32C40"/>
    <w:rsid w:val="00D4642D"/>
    <w:rsid w:val="00D5507C"/>
    <w:rsid w:val="00D669FC"/>
    <w:rsid w:val="00DB51DB"/>
    <w:rsid w:val="00DC5BC6"/>
    <w:rsid w:val="00DD1D81"/>
    <w:rsid w:val="00E004FA"/>
    <w:rsid w:val="00E01056"/>
    <w:rsid w:val="00E052A3"/>
    <w:rsid w:val="00E209D8"/>
    <w:rsid w:val="00E509D6"/>
    <w:rsid w:val="00E649B1"/>
    <w:rsid w:val="00E6685C"/>
    <w:rsid w:val="00E722D8"/>
    <w:rsid w:val="00EB626E"/>
    <w:rsid w:val="00EB6AD4"/>
    <w:rsid w:val="00EC77D6"/>
    <w:rsid w:val="00ED1552"/>
    <w:rsid w:val="00ED790F"/>
    <w:rsid w:val="00EF25FB"/>
    <w:rsid w:val="00F10D1A"/>
    <w:rsid w:val="00F40D64"/>
    <w:rsid w:val="00F64D00"/>
    <w:rsid w:val="00F73604"/>
    <w:rsid w:val="00F92640"/>
    <w:rsid w:val="00FC065F"/>
    <w:rsid w:val="00FD3145"/>
    <w:rsid w:val="00FE26BC"/>
    <w:rsid w:val="00FF09C1"/>
    <w:rsid w:val="07FF5811"/>
    <w:rsid w:val="61596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7"/>
    <w:unhideWhenUsed/>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4"/>
    <w:semiHidden/>
    <w:unhideWhenUsed/>
    <w:uiPriority w:val="99"/>
    <w:rPr>
      <w:b/>
      <w:bCs/>
    </w:rPr>
  </w:style>
  <w:style w:type="character" w:styleId="10">
    <w:name w:val="Hyperlink"/>
    <w:basedOn w:val="9"/>
    <w:semiHidden/>
    <w:unhideWhenUsed/>
    <w:uiPriority w:val="99"/>
    <w:rPr>
      <w:color w:val="0000FF"/>
      <w:u w:val="single"/>
    </w:rPr>
  </w:style>
  <w:style w:type="character" w:styleId="11">
    <w:name w:val="annotation reference"/>
    <w:basedOn w:val="9"/>
    <w:semiHidden/>
    <w:unhideWhenUsed/>
    <w:uiPriority w:val="99"/>
    <w:rPr>
      <w:sz w:val="21"/>
      <w:szCs w:val="21"/>
    </w:rPr>
  </w:style>
  <w:style w:type="paragraph" w:styleId="12">
    <w:name w:val="List Paragraph"/>
    <w:basedOn w:val="1"/>
    <w:qFormat/>
    <w:uiPriority w:val="99"/>
    <w:pPr>
      <w:ind w:firstLine="420" w:firstLineChars="200"/>
    </w:pPr>
  </w:style>
  <w:style w:type="character" w:customStyle="1" w:styleId="13">
    <w:name w:val="批注文字 字符"/>
    <w:basedOn w:val="9"/>
    <w:link w:val="2"/>
    <w:semiHidden/>
    <w:uiPriority w:val="99"/>
    <w:rPr>
      <w:szCs w:val="24"/>
    </w:rPr>
  </w:style>
  <w:style w:type="character" w:customStyle="1" w:styleId="14">
    <w:name w:val="批注主题 字符"/>
    <w:basedOn w:val="13"/>
    <w:link w:val="7"/>
    <w:semiHidden/>
    <w:uiPriority w:val="99"/>
    <w:rPr>
      <w:b/>
      <w:bCs/>
      <w:szCs w:val="24"/>
    </w:rPr>
  </w:style>
  <w:style w:type="character" w:customStyle="1" w:styleId="15">
    <w:name w:val="批注框文本 字符"/>
    <w:basedOn w:val="9"/>
    <w:link w:val="3"/>
    <w:semiHidden/>
    <w:uiPriority w:val="99"/>
    <w:rPr>
      <w:sz w:val="18"/>
      <w:szCs w:val="18"/>
    </w:rPr>
  </w:style>
  <w:style w:type="character" w:customStyle="1" w:styleId="16">
    <w:name w:val="页眉 字符"/>
    <w:basedOn w:val="9"/>
    <w:link w:val="5"/>
    <w:uiPriority w:val="99"/>
    <w:rPr>
      <w:sz w:val="18"/>
      <w:szCs w:val="18"/>
    </w:rPr>
  </w:style>
  <w:style w:type="character" w:customStyle="1" w:styleId="17">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2626</Words>
  <Characters>2742</Characters>
  <Lines>19</Lines>
  <Paragraphs>5</Paragraphs>
  <TotalTime>15</TotalTime>
  <ScaleCrop>false</ScaleCrop>
  <LinksUpToDate>false</LinksUpToDate>
  <CharactersWithSpaces>2749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2023-04-27T09:06:00Z</dcterms:created>
  <dc:creator>ASUS</dc:creator>
  <cp:lastModifiedBy>WPS_1402464897</cp:lastModifiedBy>
  <dcterms:modified xsi:type="dcterms:W3CDTF">2023-05-06T03:06:05Z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A878D30083CA40DFA0FEF502DD307B39_13</vt:lpwstr>
  </property>
</Properties>
</file>