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43" w:name="_GoBack"/>
            <w:bookmarkEnd w:id="43"/>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2"/>
                    <w:framePr w:wrap="notBeside" w:vAnchor="page" w:hAnchor="page" w:x="1372" w:y="568"/>
                    <w:ind w:left="420" w:right="624"/>
                    <w:rPr>
                      <w:rFonts w:ascii="宋体" w:hAnsi="宋体"/>
                      <w:sz w:val="28"/>
                      <w:szCs w:val="28"/>
                    </w:rPr>
                  </w:pPr>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pPr>
        <w:pStyle w:val="53"/>
        <w:framePr w:w="9639" w:h="1191" w:hRule="exact" w:hSpace="181" w:vSpace="181" w:wrap="around" w:hAnchor="page" w:x="1272" w:y="2042"/>
        <w:rPr>
          <w:rFonts w:ascii="黑体" w:hAnsi="黑体" w:eastAsia="黑体"/>
          <w:b w:val="0"/>
          <w:bCs w:val="0"/>
          <w:w w:val="100"/>
          <w:sz w:val="84"/>
          <w:szCs w:val="84"/>
        </w:rPr>
      </w:pPr>
      <w:bookmarkStart w:id="2"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2"/>
    <w:p>
      <w:pPr>
        <w:pStyle w:val="198"/>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199"/>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塑料离心管性能验证"/>
            </w:textInput>
          </w:ffData>
        </w:fldChar>
      </w:r>
      <w:bookmarkStart w:id="7" w:name="CSTD_NAME"/>
      <w:r>
        <w:instrText xml:space="preserve"> FORMTEXT </w:instrText>
      </w:r>
      <w:r>
        <w:fldChar w:fldCharType="separate"/>
      </w:r>
      <w:r>
        <w:t>塑料离心管性能验证</w:t>
      </w:r>
      <w:r>
        <w:fldChar w:fldCharType="end"/>
      </w:r>
      <w:bookmarkEnd w:id="7"/>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Performance verification of plastic centrifuge tube"/>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Performance verification of plastic centrifuge tube</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6"/>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4"/>
        <w:framePr w:h="584" w:hRule="exact" w:hSpace="181" w:vSpace="181" w:wrap="around" w:y="14800"/>
        <w:rPr>
          <w:rFonts w:hAnsi="黑体"/>
        </w:rPr>
      </w:pPr>
      <w:r>
        <w:rPr>
          <w:rFonts w:hAnsi="黑体"/>
          <w:w w:val="100"/>
          <w:sz w:val="28"/>
        </w:rPr>
        <w:fldChar w:fldCharType="begin">
          <w:ffData>
            <w:name w:val="fm"/>
            <w:enabled/>
            <w:calcOnExit w:val="0"/>
            <w:textInput>
              <w:default w:val="深圳市标准化协会"/>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深圳市标准化协会</w:t>
      </w:r>
      <w:r>
        <w:rPr>
          <w:rFonts w:hAnsi="黑体"/>
          <w:w w:val="100"/>
          <w:sz w:val="28"/>
        </w:rPr>
        <w:fldChar w:fldCharType="end"/>
      </w:r>
      <w:bookmarkEnd w:id="18"/>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before="900" w:after="360"/>
      </w:pPr>
      <w:bookmarkStart w:id="19" w:name="BookMark2"/>
      <w:r>
        <w:rPr>
          <w:spacing w:val="320"/>
        </w:rPr>
        <w:t>前</w:t>
      </w:r>
      <w:r>
        <w:t>言</w:t>
      </w:r>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请注意本文件的某些内容可能涉及专利。本文件的发布机构不承担识别专利的责任。</w:t>
      </w:r>
    </w:p>
    <w:p>
      <w:pPr>
        <w:pStyle w:val="59"/>
        <w:ind w:firstLine="420"/>
      </w:pPr>
      <w:r>
        <w:rPr>
          <w:rFonts w:hint="eastAsia"/>
        </w:rPr>
        <w:t>本文件由深圳华大医学检验实验室提出。</w:t>
      </w:r>
    </w:p>
    <w:p>
      <w:pPr>
        <w:pStyle w:val="59"/>
        <w:ind w:firstLine="420"/>
      </w:pPr>
      <w:r>
        <w:rPr>
          <w:rFonts w:hint="eastAsia"/>
        </w:rPr>
        <w:t>本文件由深圳市标准化协会归口。</w:t>
      </w:r>
    </w:p>
    <w:p>
      <w:pPr>
        <w:pStyle w:val="59"/>
        <w:ind w:firstLine="420"/>
      </w:pPr>
      <w:r>
        <w:rPr>
          <w:rFonts w:hint="eastAsia"/>
        </w:rPr>
        <w:t>本文件起草单位：</w:t>
      </w:r>
      <w:r>
        <w:t>深圳华大</w:t>
      </w:r>
      <w:r>
        <w:rPr>
          <w:rFonts w:hint="eastAsia"/>
        </w:rPr>
        <w:t>医学检验实验室</w:t>
      </w:r>
      <w:r>
        <w:t>、深圳华大基因股份有限公司</w:t>
      </w:r>
      <w:r>
        <w:rPr>
          <w:rFonts w:hint="eastAsia"/>
        </w:rPr>
        <w:t>、BGI HEALTH (HK) CO., LTD、广东积健生物科技有限公司、上海科进生物技术有限公司、苏州赛普生物科技股份有限公司、深圳逗点生物技术有限公司、苏州康容生物医疗科技有限公司、杭州博日科技股份有限公司、无锡国盛生物工程股份有限公司、浙江博毓生物科技有限公司、惠州帝恩科技有限公司、浙江硕华生命科学研究股份有限公司、浙江贝兰伯生物技术有限公司、广州科容生物科技有限公司。</w:t>
      </w:r>
    </w:p>
    <w:p>
      <w:pPr>
        <w:pStyle w:val="59"/>
        <w:ind w:firstLine="420"/>
      </w:pPr>
      <w:r>
        <w:rPr>
          <w:rFonts w:hint="eastAsia"/>
        </w:rPr>
        <w:t>本文件主要起草人：魏鹏飞、乔明、</w:t>
      </w:r>
      <w:r>
        <w:rPr>
          <w:rFonts w:hint="eastAsia" w:ascii="Times New Roman"/>
        </w:rPr>
        <w:t>葛建敬、朱青华、曹思降、张胜有、陈高明、杜建辉、张才敏、戴良、张忠伟、曾利德、蒋峥嵘、程富春、余维哲、吴亚、王岩琦、侯磊、唐美芳、姜丹、刘杨杨。</w:t>
      </w:r>
    </w:p>
    <w:p>
      <w:pPr>
        <w:pStyle w:val="59"/>
        <w:ind w:firstLine="420"/>
      </w:pPr>
    </w:p>
    <w:p>
      <w:pPr>
        <w:pStyle w:val="59"/>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821C05CF754C4824A13AF9626A337B08"/>
        </w:placeholder>
      </w:sdtPr>
      <w:sdtContent>
        <w:p>
          <w:pPr>
            <w:pStyle w:val="180"/>
            <w:spacing w:before="240" w:beforeLines="100" w:after="528" w:afterLines="220"/>
          </w:pPr>
          <w:bookmarkStart w:id="21" w:name="NEW_STAND_NAME"/>
          <w:r>
            <w:rPr>
              <w:rFonts w:hint="eastAsia"/>
            </w:rPr>
            <w:t>塑料离心管性能验证</w:t>
          </w:r>
        </w:p>
      </w:sdtContent>
    </w:sdt>
    <w:bookmarkEnd w:id="21"/>
    <w:p>
      <w:pPr>
        <w:pStyle w:val="107"/>
        <w:spacing w:before="240" w:after="240"/>
      </w:pPr>
      <w:bookmarkStart w:id="22" w:name="_Toc24884211"/>
      <w:bookmarkStart w:id="23" w:name="_Toc26718930"/>
      <w:bookmarkStart w:id="24" w:name="_Toc97192964"/>
      <w:bookmarkStart w:id="25" w:name="_Toc26986530"/>
      <w:bookmarkStart w:id="26" w:name="_Toc26986771"/>
      <w:bookmarkStart w:id="27" w:name="_Toc17233325"/>
      <w:bookmarkStart w:id="28" w:name="_Toc24884218"/>
      <w:bookmarkStart w:id="29" w:name="_Toc17233333"/>
      <w:bookmarkStart w:id="30" w:name="_Toc26648465"/>
      <w:r>
        <w:rPr>
          <w:rFonts w:hint="eastAsia"/>
        </w:rPr>
        <w:t>范围</w:t>
      </w:r>
      <w:bookmarkEnd w:id="22"/>
      <w:bookmarkEnd w:id="23"/>
      <w:bookmarkEnd w:id="24"/>
      <w:bookmarkEnd w:id="25"/>
      <w:bookmarkEnd w:id="26"/>
      <w:bookmarkEnd w:id="27"/>
      <w:bookmarkEnd w:id="28"/>
      <w:bookmarkEnd w:id="29"/>
      <w:bookmarkEnd w:id="30"/>
    </w:p>
    <w:p>
      <w:pPr>
        <w:pStyle w:val="59"/>
        <w:ind w:firstLine="420"/>
      </w:pPr>
      <w:bookmarkStart w:id="31" w:name="_Toc24884219"/>
      <w:bookmarkStart w:id="32" w:name="_Toc26648466"/>
      <w:bookmarkStart w:id="33" w:name="_Toc17233326"/>
      <w:bookmarkStart w:id="34" w:name="_Toc17233334"/>
      <w:bookmarkStart w:id="35" w:name="_Toc24884212"/>
      <w:r>
        <w:rPr>
          <w:rFonts w:hint="eastAsia"/>
        </w:rPr>
        <w:t xml:space="preserve">本文件规定了塑料离心管的性能要求和验证方法，不作为医疗器械使用。 </w:t>
      </w:r>
    </w:p>
    <w:p>
      <w:pPr>
        <w:pStyle w:val="59"/>
        <w:ind w:firstLine="420"/>
      </w:pPr>
      <w:r>
        <w:rPr>
          <w:rFonts w:hint="eastAsia"/>
        </w:rPr>
        <w:t>本文件适用于塑料离心管制造商和使用塑料离心管进行相关检测的各类检测机构。</w:t>
      </w:r>
    </w:p>
    <w:p>
      <w:pPr>
        <w:pStyle w:val="107"/>
        <w:spacing w:before="240" w:after="240"/>
      </w:pPr>
      <w:bookmarkStart w:id="36" w:name="_Toc97192965"/>
      <w:bookmarkStart w:id="37" w:name="_Toc26986531"/>
      <w:bookmarkStart w:id="38" w:name="_Toc26986772"/>
      <w:bookmarkStart w:id="39" w:name="_Toc26718931"/>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C5DE225883D143EBB2453EBC7E0914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 16383—2014  医疗卫生用品辐射灭菌消毒质量控制标准</w:t>
      </w:r>
    </w:p>
    <w:p>
      <w:pPr>
        <w:pStyle w:val="59"/>
        <w:ind w:firstLine="420"/>
      </w:pPr>
      <w:r>
        <w:rPr>
          <w:rFonts w:hint="eastAsia"/>
        </w:rPr>
        <w:t>GB/T 2828.1—2012  计数抽样检验程序  第一部分：按接收质量限（AQL）检索的逐批检验计划</w:t>
      </w:r>
    </w:p>
    <w:p>
      <w:pPr>
        <w:pStyle w:val="59"/>
        <w:ind w:firstLine="420"/>
      </w:pPr>
      <w:r>
        <w:rPr>
          <w:rFonts w:hint="eastAsia"/>
        </w:rPr>
        <w:t>GB/T 19495.4—2018  转基因产品检测  实时荧光定性聚合酶链式反应（PCR）检测方法</w:t>
      </w:r>
    </w:p>
    <w:p>
      <w:pPr>
        <w:pStyle w:val="107"/>
        <w:spacing w:before="240" w:after="240"/>
      </w:pPr>
      <w:bookmarkStart w:id="40" w:name="_Toc97192966"/>
      <w:r>
        <w:rPr>
          <w:rFonts w:hint="eastAsia"/>
          <w:szCs w:val="21"/>
        </w:rPr>
        <w:t>术语和定义</w:t>
      </w:r>
      <w:bookmarkEnd w:id="40"/>
    </w:p>
    <w:sdt>
      <w:sdtPr>
        <w:id w:val="-1909835108"/>
        <w:placeholder>
          <w:docPart w:val="917A605874C241F4AB2247869896D7A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41" w:name="_Toc26986532"/>
          <w:bookmarkEnd w:id="41"/>
          <w:r>
            <w:t>下列术语和定义适用于本文件。</w:t>
          </w:r>
        </w:p>
      </w:sdtContent>
    </w:sdt>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塑料离心管 plastic centrifuge tube</w:t>
      </w:r>
    </w:p>
    <w:p>
      <w:pPr>
        <w:pStyle w:val="59"/>
        <w:ind w:firstLine="420"/>
      </w:pPr>
      <w:r>
        <w:rPr>
          <w:rFonts w:hint="eastAsia"/>
        </w:rPr>
        <w:t>由塑料加工而成的管状容器，由试管和塑料盖帽组成。</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离心力 relative</w:t>
      </w:r>
      <w:r>
        <w:rPr>
          <w:rFonts w:ascii="黑体" w:hAnsi="黑体" w:eastAsia="黑体"/>
        </w:rPr>
        <w:t xml:space="preserve"> </w:t>
      </w:r>
      <w:r>
        <w:rPr>
          <w:rFonts w:hint="eastAsia" w:ascii="黑体" w:hAnsi="黑体" w:eastAsia="黑体"/>
        </w:rPr>
        <w:t>centrifugal</w:t>
      </w:r>
      <w:r>
        <w:rPr>
          <w:rFonts w:ascii="黑体" w:hAnsi="黑体" w:eastAsia="黑体"/>
        </w:rPr>
        <w:t xml:space="preserve"> </w:t>
      </w:r>
      <w:r>
        <w:rPr>
          <w:rFonts w:hint="eastAsia" w:ascii="黑体" w:hAnsi="黑体" w:eastAsia="黑体"/>
        </w:rPr>
        <w:t>force</w:t>
      </w:r>
    </w:p>
    <w:p>
      <w:pPr>
        <w:pStyle w:val="59"/>
        <w:ind w:firstLine="420"/>
      </w:pPr>
      <w:r>
        <w:rPr>
          <w:rFonts w:hint="eastAsia"/>
        </w:rPr>
        <w:t>塑料离心管的离心力指的是相对离心力，指离心管因旋转而产生脱离旋转中心的力。</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核糖核酸酶 ribonucleases; RNase  </w:t>
      </w:r>
    </w:p>
    <w:p>
      <w:pPr>
        <w:pStyle w:val="59"/>
        <w:ind w:firstLine="420"/>
      </w:pPr>
      <w:r>
        <w:rPr>
          <w:rFonts w:hint="eastAsia"/>
        </w:rPr>
        <w:t>水解核糖核酸（RNA）中磷酸二酯键，生成寡核苷酸或单核苷酸的核酸酶。</w:t>
      </w:r>
    </w:p>
    <w:p>
      <w:pPr>
        <w:pStyle w:val="59"/>
        <w:ind w:firstLine="420"/>
      </w:pPr>
      <w:r>
        <w:rPr>
          <w:rFonts w:hint="eastAsia"/>
        </w:rPr>
        <w:t>[来源：GB/T 34223—2017，3.1]</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脱氧核糖核酸酶 deoxyribonuclease; DNase</w:t>
      </w:r>
    </w:p>
    <w:p>
      <w:pPr>
        <w:pStyle w:val="59"/>
        <w:ind w:firstLine="420"/>
      </w:pPr>
      <w:r>
        <w:rPr>
          <w:rFonts w:hint="eastAsia"/>
        </w:rPr>
        <w:t>水解脱氧核糖核酸（DNA）中磷酸二酯键，生成寡核苷酸或单核苷酸的核酸酶。</w:t>
      </w:r>
    </w:p>
    <w:p>
      <w:pPr>
        <w:pStyle w:val="59"/>
        <w:ind w:firstLine="420"/>
      </w:pPr>
      <w:r>
        <w:rPr>
          <w:rFonts w:hint="eastAsia"/>
        </w:rPr>
        <w:t>[来源：GB/T 34223—2017，3.2]</w:t>
      </w:r>
    </w:p>
    <w:p>
      <w:pPr>
        <w:pStyle w:val="107"/>
        <w:spacing w:before="240" w:after="240"/>
      </w:pPr>
      <w:r>
        <w:rPr>
          <w:rFonts w:hint="eastAsia"/>
        </w:rPr>
        <w:t>塑料离心管分类</w:t>
      </w:r>
    </w:p>
    <w:p>
      <w:pPr>
        <w:pStyle w:val="108"/>
        <w:spacing w:before="120" w:after="120"/>
      </w:pPr>
      <w:r>
        <w:rPr>
          <w:rFonts w:hint="eastAsia"/>
        </w:rPr>
        <w:t>按产品规格分类</w:t>
      </w:r>
    </w:p>
    <w:p>
      <w:pPr>
        <w:pStyle w:val="59"/>
        <w:ind w:firstLine="420"/>
      </w:pPr>
      <w:r>
        <w:rPr>
          <w:rFonts w:hint="eastAsia"/>
        </w:rPr>
        <w:t>按产品有效容积规格常见可分为0.2mL、0.5 mL、1.5 mL、2.0 mL、5.0 mL、10mL、15 mL和50 mL。</w:t>
      </w:r>
    </w:p>
    <w:p>
      <w:pPr>
        <w:pStyle w:val="108"/>
        <w:spacing w:before="120" w:after="120"/>
      </w:pPr>
      <w:r>
        <w:rPr>
          <w:rFonts w:hint="eastAsia"/>
        </w:rPr>
        <w:t>按产品管盖闭合方式分类</w:t>
      </w:r>
    </w:p>
    <w:p>
      <w:pPr>
        <w:pStyle w:val="59"/>
        <w:ind w:firstLine="420"/>
      </w:pPr>
      <w:r>
        <w:rPr>
          <w:rFonts w:hint="eastAsia"/>
        </w:rPr>
        <w:t>按产品管盖闭合方式可分为连盖和螺纹盖两种。</w:t>
      </w:r>
    </w:p>
    <w:p>
      <w:pPr>
        <w:pStyle w:val="108"/>
        <w:spacing w:before="120" w:after="120"/>
      </w:pPr>
      <w:r>
        <w:rPr>
          <w:rFonts w:hint="eastAsia"/>
        </w:rPr>
        <w:t>按产品底部形状分类</w:t>
      </w:r>
    </w:p>
    <w:p>
      <w:pPr>
        <w:pStyle w:val="59"/>
        <w:ind w:firstLine="420"/>
      </w:pPr>
      <w:r>
        <w:rPr>
          <w:rFonts w:hint="eastAsia"/>
        </w:rPr>
        <w:t>按产品底部形状可分V形尖底、U形圆底和可立底。</w:t>
      </w:r>
    </w:p>
    <w:p>
      <w:pPr>
        <w:pStyle w:val="108"/>
        <w:spacing w:before="120" w:after="120"/>
      </w:pPr>
      <w:r>
        <w:rPr>
          <w:rFonts w:hint="eastAsia"/>
        </w:rPr>
        <w:t>按产品颜色分类</w:t>
      </w:r>
    </w:p>
    <w:p>
      <w:pPr>
        <w:pStyle w:val="59"/>
        <w:ind w:firstLine="420"/>
      </w:pPr>
      <w:r>
        <w:rPr>
          <w:rFonts w:hint="eastAsia"/>
        </w:rPr>
        <w:t>按产品颜色可分为无色透明、多色透明及遮光产品。</w:t>
      </w:r>
    </w:p>
    <w:p>
      <w:pPr>
        <w:pStyle w:val="108"/>
        <w:spacing w:before="120" w:after="120"/>
      </w:pPr>
      <w:r>
        <w:rPr>
          <w:rFonts w:hint="eastAsia"/>
        </w:rPr>
        <w:t>按产品离心耐受能力分类</w:t>
      </w:r>
    </w:p>
    <w:p>
      <w:pPr>
        <w:pStyle w:val="59"/>
        <w:ind w:firstLine="420"/>
      </w:pPr>
      <w:r>
        <w:rPr>
          <w:rFonts w:hint="eastAsia"/>
        </w:rPr>
        <w:t>按产品耐离心力能力可分为普通离心力型和高速离心力型。</w:t>
      </w:r>
    </w:p>
    <w:p>
      <w:pPr>
        <w:pStyle w:val="108"/>
        <w:spacing w:before="120" w:after="120"/>
      </w:pPr>
      <w:r>
        <w:rPr>
          <w:rFonts w:hint="eastAsia"/>
        </w:rPr>
        <w:t>按产品是否灭菌分类</w:t>
      </w:r>
    </w:p>
    <w:p>
      <w:pPr>
        <w:pStyle w:val="59"/>
        <w:ind w:firstLine="420"/>
      </w:pPr>
      <w:r>
        <w:rPr>
          <w:rFonts w:hint="eastAsia"/>
        </w:rPr>
        <w:t>按产品是否灭菌可分为灭菌型和未灭菌型。</w:t>
      </w:r>
    </w:p>
    <w:p>
      <w:pPr>
        <w:pStyle w:val="108"/>
        <w:spacing w:before="120" w:after="120"/>
      </w:pPr>
      <w:r>
        <w:rPr>
          <w:rFonts w:hint="eastAsia"/>
        </w:rPr>
        <w:t>按有无吸附分类</w:t>
      </w:r>
    </w:p>
    <w:p>
      <w:pPr>
        <w:pStyle w:val="59"/>
        <w:ind w:firstLine="420"/>
      </w:pPr>
      <w:r>
        <w:rPr>
          <w:rFonts w:hint="eastAsia"/>
        </w:rPr>
        <w:t>按产品吸附性可分为普通型和低吸附型。</w:t>
      </w:r>
    </w:p>
    <w:p>
      <w:pPr>
        <w:pStyle w:val="107"/>
        <w:spacing w:before="240" w:after="240"/>
      </w:pPr>
      <w:r>
        <w:rPr>
          <w:rFonts w:hint="eastAsia"/>
        </w:rPr>
        <w:t>要求</w:t>
      </w:r>
    </w:p>
    <w:p>
      <w:pPr>
        <w:pStyle w:val="108"/>
        <w:spacing w:before="120" w:after="120"/>
      </w:pPr>
      <w:r>
        <w:rPr>
          <w:rFonts w:hint="eastAsia"/>
        </w:rPr>
        <w:t>外观及材质</w:t>
      </w:r>
    </w:p>
    <w:p>
      <w:pPr>
        <w:pStyle w:val="168"/>
      </w:pPr>
      <w:r>
        <w:rPr>
          <w:rFonts w:hint="eastAsia"/>
        </w:rPr>
        <w:t>毛刺/飞边：塑料离心管管口表面应不应有长于0.05 mm的飞边，管底不应有长于0.1 mm的毛刺，管盖应无胶丝、胶屑及外来杂质，管内任何部位均不应有飞边。</w:t>
      </w:r>
    </w:p>
    <w:p>
      <w:pPr>
        <w:pStyle w:val="168"/>
      </w:pPr>
      <w:r>
        <w:rPr>
          <w:rFonts w:hint="eastAsia"/>
        </w:rPr>
        <w:t>破损：塑料离心管结构完整，任何部位应不得有破损、小孔、缩水、缺料、多料、断裂等情况，管体内壁应不得有划痕。</w:t>
      </w:r>
    </w:p>
    <w:p>
      <w:pPr>
        <w:pStyle w:val="168"/>
      </w:pPr>
      <w:r>
        <w:rPr>
          <w:rFonts w:hint="eastAsia"/>
        </w:rPr>
        <w:t>油污：塑料离心管不应有油污、机油等物质污染，如有黑点应在540 lx光照度的白光或日光下，以30 cm～45 cm目力距离进行目力检测不出。</w:t>
      </w:r>
    </w:p>
    <w:p>
      <w:pPr>
        <w:pStyle w:val="168"/>
      </w:pPr>
      <w:r>
        <w:rPr>
          <w:rFonts w:hint="eastAsia"/>
        </w:rPr>
        <w:t>形变：塑料离心管合盖后管盖配合紧密，合盖前后无明显变形。</w:t>
      </w:r>
    </w:p>
    <w:p>
      <w:pPr>
        <w:pStyle w:val="168"/>
      </w:pPr>
      <w:r>
        <w:rPr>
          <w:rFonts w:hint="eastAsia"/>
        </w:rPr>
        <w:t>刻度标记：塑料离心管刻度印刷清晰，书写区域面积适中，便于书写。</w:t>
      </w:r>
    </w:p>
    <w:p>
      <w:pPr>
        <w:pStyle w:val="168"/>
      </w:pPr>
      <w:r>
        <w:rPr>
          <w:rFonts w:hint="eastAsia"/>
        </w:rPr>
        <w:t>包装：塑料离心管包装采用聚乙烯塑料或其他材料密封包装，包装应牢固、防潮、整洁、美观、无异味,便于装卸、仓储和运输。</w:t>
      </w:r>
    </w:p>
    <w:p>
      <w:pPr>
        <w:pStyle w:val="108"/>
        <w:spacing w:before="120" w:after="120"/>
      </w:pPr>
      <w:r>
        <w:rPr>
          <w:rFonts w:hint="eastAsia"/>
        </w:rPr>
        <w:t>外形尺寸</w:t>
      </w:r>
    </w:p>
    <w:p>
      <w:pPr>
        <w:pStyle w:val="59"/>
        <w:ind w:firstLine="420"/>
      </w:pPr>
      <w:r>
        <w:rPr>
          <w:rFonts w:hint="eastAsia"/>
        </w:rPr>
        <w:t>塑料离心管外形尺寸（直径、长度）应符合企业技术图纸的规定，图纸未注明公差的尺寸，其允许偏差为±1.5 mm。</w:t>
      </w:r>
    </w:p>
    <w:p>
      <w:pPr>
        <w:pStyle w:val="108"/>
        <w:spacing w:before="120" w:after="120"/>
      </w:pPr>
      <w:r>
        <w:rPr>
          <w:rFonts w:hint="eastAsia"/>
        </w:rPr>
        <w:t>适配性</w:t>
      </w:r>
    </w:p>
    <w:p>
      <w:pPr>
        <w:pStyle w:val="59"/>
        <w:ind w:firstLine="420"/>
      </w:pPr>
      <w:r>
        <w:rPr>
          <w:rFonts w:hint="eastAsia"/>
        </w:rPr>
        <w:t>塑料离心管能单手开关盖，管体不易形变损坏，适配于对应规格的离心机操作模块和离心管管架。</w:t>
      </w:r>
    </w:p>
    <w:p>
      <w:pPr>
        <w:pStyle w:val="108"/>
        <w:spacing w:before="120" w:after="120"/>
      </w:pPr>
      <w:r>
        <w:rPr>
          <w:rFonts w:hint="eastAsia"/>
        </w:rPr>
        <w:t>液体载量</w:t>
      </w:r>
    </w:p>
    <w:p>
      <w:pPr>
        <w:pStyle w:val="59"/>
        <w:ind w:firstLine="420"/>
      </w:pPr>
      <w:r>
        <w:rPr>
          <w:rFonts w:hint="eastAsia"/>
        </w:rPr>
        <w:t>塑料离心管需满足产品规格容积液体装载无溢出，刻度线清晰可辨，误差不超过5%。</w:t>
      </w:r>
    </w:p>
    <w:p>
      <w:pPr>
        <w:pStyle w:val="108"/>
        <w:spacing w:before="120" w:after="120"/>
      </w:pPr>
      <w:r>
        <w:rPr>
          <w:rFonts w:hint="eastAsia"/>
        </w:rPr>
        <w:t>密封性、离心耐受力</w:t>
      </w:r>
    </w:p>
    <w:p>
      <w:pPr>
        <w:pStyle w:val="59"/>
        <w:ind w:firstLine="420"/>
      </w:pPr>
      <w:r>
        <w:rPr>
          <w:rFonts w:hint="eastAsia"/>
        </w:rPr>
        <w:t>塑料离心管加入产品规格容积的去离子水，震荡1 min，离心机离心10 min，震荡离心前后管无破损，液面平齐，管无漏液，无明显变形。容量≤10 mL的塑料离心管，离心力设置为12000 g。容量＞10 mL的塑料离心管，离心力设置为5000 g。</w:t>
      </w:r>
    </w:p>
    <w:p>
      <w:pPr>
        <w:pStyle w:val="108"/>
        <w:spacing w:before="120" w:after="120"/>
      </w:pPr>
      <w:r>
        <w:rPr>
          <w:rFonts w:hint="eastAsia"/>
        </w:rPr>
        <w:t>热耐受力</w:t>
      </w:r>
    </w:p>
    <w:p>
      <w:pPr>
        <w:pStyle w:val="59"/>
        <w:ind w:firstLine="420"/>
      </w:pPr>
      <w:r>
        <w:rPr>
          <w:rFonts w:hint="eastAsia"/>
        </w:rPr>
        <w:t>塑料离心管应承受100 ℃下加热30 min，并在加热后无明显变形、无明显异味。</w:t>
      </w:r>
    </w:p>
    <w:p>
      <w:pPr>
        <w:pStyle w:val="108"/>
        <w:spacing w:before="120" w:after="120"/>
      </w:pPr>
      <w:r>
        <w:rPr>
          <w:rFonts w:hint="eastAsia"/>
        </w:rPr>
        <w:t>冷耐受力</w:t>
      </w:r>
    </w:p>
    <w:p>
      <w:pPr>
        <w:pStyle w:val="59"/>
        <w:ind w:firstLine="420"/>
      </w:pPr>
      <w:r>
        <w:rPr>
          <w:rFonts w:hint="eastAsia"/>
        </w:rPr>
        <w:t>塑料离心管应耐受-20 ℃下保存24 h，-80 ℃下保存72 h，管身无变形，无液体漏出，变形度小于0.5 mm。</w:t>
      </w:r>
    </w:p>
    <w:p>
      <w:pPr>
        <w:pStyle w:val="108"/>
        <w:spacing w:before="120" w:after="120"/>
      </w:pPr>
      <w:r>
        <w:rPr>
          <w:rFonts w:hint="eastAsia"/>
        </w:rPr>
        <w:t>耐化学腐蚀性</w:t>
      </w:r>
    </w:p>
    <w:p>
      <w:pPr>
        <w:pStyle w:val="59"/>
        <w:ind w:firstLine="420"/>
      </w:pPr>
      <w:r>
        <w:rPr>
          <w:rFonts w:hint="eastAsia"/>
        </w:rPr>
        <w:t>塑料离心管对于盐酸（50%）、氢氧化钠（饱和溶液）、甲醛、苯酚、二甲基亚砜耐腐蚀性能好，可以直接使用。</w:t>
      </w:r>
    </w:p>
    <w:p>
      <w:pPr>
        <w:pStyle w:val="108"/>
        <w:spacing w:before="120" w:after="120"/>
      </w:pPr>
      <w:r>
        <w:rPr>
          <w:rFonts w:hint="eastAsia"/>
        </w:rPr>
        <w:t>无菌、无内毒素检测</w:t>
      </w:r>
    </w:p>
    <w:p>
      <w:pPr>
        <w:pStyle w:val="59"/>
        <w:ind w:firstLine="420"/>
      </w:pPr>
      <w:r>
        <w:rPr>
          <w:rFonts w:hint="eastAsia"/>
        </w:rPr>
        <w:t>塑料离心管经灭菌处理后，采用细菌内毒素试验评价产品试样致热性，产品细菌内毒素≤20</w:t>
      </w:r>
      <w:r>
        <w:t xml:space="preserve"> </w:t>
      </w:r>
      <w:r>
        <w:rPr>
          <w:rFonts w:hint="eastAsia"/>
        </w:rPr>
        <w:t>EU/件。</w:t>
      </w:r>
    </w:p>
    <w:p>
      <w:pPr>
        <w:pStyle w:val="108"/>
        <w:spacing w:before="120" w:after="120"/>
      </w:pPr>
      <w:r>
        <w:rPr>
          <w:rFonts w:hint="eastAsia"/>
        </w:rPr>
        <w:t>DNA酶</w:t>
      </w:r>
    </w:p>
    <w:p>
      <w:pPr>
        <w:pStyle w:val="59"/>
        <w:ind w:firstLine="420"/>
      </w:pPr>
      <w:r>
        <w:rPr>
          <w:rFonts w:hint="eastAsia"/>
        </w:rPr>
        <w:t>塑料离心管应不含DNA酶。采用DNase检测试剂盒，根据说明书，样本检测值应低于2倍阴性质控品荧光值的均值，检测结果为阴性。</w:t>
      </w:r>
    </w:p>
    <w:p>
      <w:pPr>
        <w:pStyle w:val="108"/>
        <w:spacing w:before="120" w:after="120"/>
      </w:pPr>
      <w:r>
        <w:rPr>
          <w:rFonts w:hint="eastAsia"/>
        </w:rPr>
        <w:t>RNA酶</w:t>
      </w:r>
    </w:p>
    <w:p>
      <w:pPr>
        <w:pStyle w:val="59"/>
        <w:ind w:firstLine="420"/>
      </w:pPr>
      <w:r>
        <w:rPr>
          <w:rFonts w:hint="eastAsia"/>
        </w:rPr>
        <w:t>塑料离心管应不含RNA酶。采用RNase检测试剂盒，根据说明书，样本检测值应低于2倍阴性质控品荧光值的均值，检测结果为阴性。</w:t>
      </w:r>
    </w:p>
    <w:p>
      <w:pPr>
        <w:pStyle w:val="108"/>
        <w:spacing w:before="120" w:after="120"/>
      </w:pPr>
      <w:r>
        <w:rPr>
          <w:rFonts w:hint="eastAsia"/>
        </w:rPr>
        <w:t xml:space="preserve">外源核酸 </w:t>
      </w:r>
    </w:p>
    <w:p>
      <w:pPr>
        <w:pStyle w:val="59"/>
        <w:ind w:firstLine="420"/>
      </w:pPr>
      <w:r>
        <w:rPr>
          <w:rFonts w:hint="eastAsia"/>
        </w:rPr>
        <w:t>离心管板要求无外源核酸污染，去离子水经通用引物PCR反应后，DNA浓度小于0.5 ng/μL，扩增产物 经琼脂糖凝胶电泳后，在紫外照射仪下无条带。</w:t>
      </w:r>
    </w:p>
    <w:p>
      <w:pPr>
        <w:pStyle w:val="107"/>
        <w:spacing w:before="240" w:after="240"/>
      </w:pPr>
      <w:r>
        <w:rPr>
          <w:rFonts w:hint="eastAsia"/>
        </w:rPr>
        <w:t>验证方法</w:t>
      </w:r>
    </w:p>
    <w:p>
      <w:pPr>
        <w:pStyle w:val="108"/>
        <w:spacing w:before="120" w:after="120"/>
      </w:pPr>
      <w:r>
        <w:rPr>
          <w:rFonts w:hint="eastAsia"/>
        </w:rPr>
        <w:t>外观检测</w:t>
      </w:r>
    </w:p>
    <w:p>
      <w:pPr>
        <w:pStyle w:val="59"/>
        <w:ind w:firstLine="420"/>
      </w:pPr>
      <w:r>
        <w:rPr>
          <w:rFonts w:hint="eastAsia"/>
        </w:rPr>
        <w:t>使用自然光源或放大镜用目力观察，结合通用量具进行检测。</w:t>
      </w:r>
    </w:p>
    <w:p>
      <w:pPr>
        <w:pStyle w:val="108"/>
        <w:spacing w:before="120" w:after="120"/>
      </w:pPr>
      <w:r>
        <w:rPr>
          <w:rFonts w:hint="eastAsia"/>
        </w:rPr>
        <w:t>尺寸检测</w:t>
      </w:r>
    </w:p>
    <w:p>
      <w:pPr>
        <w:pStyle w:val="59"/>
        <w:ind w:firstLine="420"/>
      </w:pPr>
      <w:r>
        <w:rPr>
          <w:rFonts w:hint="eastAsia"/>
        </w:rPr>
        <w:t>使用分度值为0.02 mm游标卡尺检测外观尺寸，毛刺、飞边使用影像测量仪进行检测。</w:t>
      </w:r>
    </w:p>
    <w:p>
      <w:pPr>
        <w:pStyle w:val="108"/>
        <w:spacing w:before="120" w:after="120"/>
      </w:pPr>
      <w:r>
        <w:rPr>
          <w:rFonts w:hint="eastAsia"/>
        </w:rPr>
        <w:t>适配性检测</w:t>
      </w:r>
    </w:p>
    <w:p>
      <w:pPr>
        <w:pStyle w:val="59"/>
        <w:ind w:firstLine="420"/>
      </w:pPr>
      <w:r>
        <w:rPr>
          <w:rFonts w:hint="eastAsia"/>
        </w:rPr>
        <w:t>将塑料离心管放置在离心管机、离心管管架上，不松动、不脱落且能正常开关盖。</w:t>
      </w:r>
    </w:p>
    <w:p>
      <w:pPr>
        <w:pStyle w:val="108"/>
        <w:spacing w:before="120" w:after="120"/>
      </w:pPr>
      <w:r>
        <w:rPr>
          <w:rFonts w:hint="eastAsia"/>
        </w:rPr>
        <w:t>液体载量</w:t>
      </w:r>
    </w:p>
    <w:p>
      <w:pPr>
        <w:pStyle w:val="59"/>
        <w:ind w:firstLine="420"/>
      </w:pPr>
      <w:r>
        <w:rPr>
          <w:rFonts w:hint="eastAsia"/>
        </w:rPr>
        <w:t xml:space="preserve">向塑料离心管内加入去离子水至容量刻度线，使用万分之一天平称量加水前后重量，差值即为纯水体积。 </w:t>
      </w:r>
    </w:p>
    <w:p>
      <w:pPr>
        <w:pStyle w:val="108"/>
        <w:spacing w:before="120" w:after="120"/>
      </w:pPr>
      <w:r>
        <w:rPr>
          <w:rFonts w:hint="eastAsia"/>
        </w:rPr>
        <w:t>密封性、离心耐受力检测</w:t>
      </w:r>
    </w:p>
    <w:p>
      <w:pPr>
        <w:pStyle w:val="59"/>
        <w:ind w:firstLine="420"/>
      </w:pPr>
      <w:r>
        <w:rPr>
          <w:rFonts w:hint="eastAsia"/>
        </w:rPr>
        <w:t>向塑料离心管加入产品规格容积的去离子水，震荡1 min，离心机离心10 min。容量≤10 mL的塑料离心管，离心力设置为12000 g。容量＞10 mL的塑料离心管，离心力设置为5000 g。目测观察离心后是否有变形、破损及漏液情况。</w:t>
      </w:r>
    </w:p>
    <w:p>
      <w:pPr>
        <w:pStyle w:val="108"/>
        <w:spacing w:before="120" w:after="120"/>
      </w:pPr>
      <w:r>
        <w:rPr>
          <w:rFonts w:hint="eastAsia"/>
        </w:rPr>
        <w:t>热耐受力检测</w:t>
      </w:r>
    </w:p>
    <w:p>
      <w:pPr>
        <w:pStyle w:val="59"/>
        <w:ind w:firstLine="420"/>
      </w:pPr>
      <w:r>
        <w:rPr>
          <w:rFonts w:hint="eastAsia"/>
        </w:rPr>
        <w:t>塑料离心管内加入产品规格容积的去离子水，置于水浴锅内100℃温度下煮沸10分钟，观察管有无明显形变及异味。</w:t>
      </w:r>
    </w:p>
    <w:p>
      <w:pPr>
        <w:pStyle w:val="108"/>
        <w:spacing w:before="120" w:after="120"/>
      </w:pPr>
      <w:r>
        <w:rPr>
          <w:rFonts w:hint="eastAsia"/>
        </w:rPr>
        <w:t>冷耐受力检测</w:t>
      </w:r>
    </w:p>
    <w:p>
      <w:pPr>
        <w:pStyle w:val="59"/>
        <w:ind w:firstLine="420"/>
      </w:pPr>
      <w:r>
        <w:rPr>
          <w:rFonts w:hint="eastAsia"/>
        </w:rPr>
        <w:t>塑料离心管内加入规格体积的去离子水，置于-20 ℃保存24 h，-80 ℃保存72 h。室温10 min，观察是否有变形、破损。液体复溶后，3000 g离心机离心2 min，观察是否有漏液现象。</w:t>
      </w:r>
    </w:p>
    <w:p>
      <w:pPr>
        <w:pStyle w:val="108"/>
        <w:spacing w:before="120" w:after="120"/>
      </w:pPr>
      <w:r>
        <w:rPr>
          <w:rFonts w:hint="eastAsia"/>
        </w:rPr>
        <w:t>耐化学腐蚀性</w:t>
      </w:r>
    </w:p>
    <w:p>
      <w:pPr>
        <w:pStyle w:val="59"/>
        <w:ind w:firstLine="420"/>
      </w:pPr>
      <w:r>
        <w:rPr>
          <w:rFonts w:hint="eastAsia"/>
        </w:rPr>
        <w:t>塑料离心管内加入规格体积盐酸（50%）、氢氧化钠（饱和溶液）、甲醛、苯酚、二甲基亚砜，室温放置24</w:t>
      </w:r>
      <w:r>
        <w:t xml:space="preserve"> </w:t>
      </w:r>
      <w:r>
        <w:rPr>
          <w:rFonts w:hint="eastAsia"/>
        </w:rPr>
        <w:t>h后，倒出化学试剂，离心管按5.3、5.5、5.6、5.7进行测试，均应符合6.3、6.5、6.6、6.7规定。</w:t>
      </w:r>
    </w:p>
    <w:p>
      <w:pPr>
        <w:pStyle w:val="108"/>
        <w:spacing w:before="120" w:after="120"/>
      </w:pPr>
      <w:r>
        <w:rPr>
          <w:rFonts w:hint="eastAsia"/>
        </w:rPr>
        <w:t>无菌、无内毒素检测</w:t>
      </w:r>
    </w:p>
    <w:p>
      <w:pPr>
        <w:pStyle w:val="59"/>
        <w:ind w:firstLine="420"/>
      </w:pPr>
      <w:r>
        <w:rPr>
          <w:rFonts w:hint="eastAsia"/>
        </w:rPr>
        <w:t>塑料离心管出厂后应有灭菌证明，微生物检测方法参考GB 16383—2014 附录A进行。</w:t>
      </w:r>
    </w:p>
    <w:p>
      <w:pPr>
        <w:pStyle w:val="108"/>
        <w:spacing w:before="120" w:after="120"/>
      </w:pPr>
      <w:r>
        <w:rPr>
          <w:rFonts w:hint="eastAsia"/>
        </w:rPr>
        <w:t>DNA酶检测</w:t>
      </w:r>
    </w:p>
    <w:p>
      <w:pPr>
        <w:pStyle w:val="59"/>
        <w:ind w:firstLine="420"/>
      </w:pPr>
      <w:r>
        <w:rPr>
          <w:rFonts w:hint="eastAsia"/>
        </w:rPr>
        <w:t>塑料离心管DNA酶检测采用DNase检测试剂盒，使用无DNA酶、无RNA酶的一次性手工吸头，每孔加入产品最高载量的试剂盒内的无酶水，使用手工移液器反复吹打3次以上，在最后一管润洗完成后，收集混匀液作为待测样本，并按试剂盒操作说明书添加荧光试剂，通过酶标仪37 ℃反应30 min后在530/590 nm波段进行荧光测定，检测结果按说明书标准进行判定。</w:t>
      </w:r>
    </w:p>
    <w:p>
      <w:pPr>
        <w:pStyle w:val="108"/>
        <w:spacing w:before="120" w:after="120"/>
      </w:pPr>
      <w:r>
        <w:rPr>
          <w:rFonts w:hint="eastAsia"/>
        </w:rPr>
        <w:t>RNA酶检测</w:t>
      </w:r>
    </w:p>
    <w:p>
      <w:pPr>
        <w:pStyle w:val="59"/>
        <w:ind w:firstLine="420"/>
      </w:pPr>
      <w:r>
        <w:rPr>
          <w:rFonts w:hint="eastAsia"/>
        </w:rPr>
        <w:t>塑料离心管RNA酶检测采用RNase检测试剂盒，使用无DNA酶、无RNA酶的一次性手工吸头，每孔加入产品最高载量的试剂盒内的无酶水，使用手工移液器反复吹打3次以上，在最后一管润洗完成后，收集混匀液作为待测样本，并按试剂盒操作说明书添加荧光试剂，通过酶标仪37 ℃反应30 min后在530/590 nm波段进行荧光测定，检测结果按说明书标准进行判定。</w:t>
      </w:r>
    </w:p>
    <w:p>
      <w:pPr>
        <w:pStyle w:val="108"/>
        <w:spacing w:before="120" w:after="120"/>
      </w:pPr>
      <w:r>
        <w:rPr>
          <w:rFonts w:hint="eastAsia"/>
        </w:rPr>
        <w:t xml:space="preserve">外源核酸检测 </w:t>
      </w:r>
    </w:p>
    <w:p>
      <w:pPr>
        <w:pStyle w:val="59"/>
        <w:ind w:firstLine="420"/>
      </w:pPr>
      <w:r>
        <w:rPr>
          <w:rFonts w:hint="eastAsia"/>
        </w:rPr>
        <w:t>PCR板外源核酸检测利用去离子水作为样本，采用通用引物进行PCR反应，扩增产物在琼脂糖凝胶电 泳完成后，电泳条带在紫外照射仪中进行透射。检测方法参考GB/T 19495.4—2018第6部分。</w:t>
      </w:r>
    </w:p>
    <w:p>
      <w:pPr>
        <w:pStyle w:val="107"/>
        <w:spacing w:before="240" w:after="240"/>
      </w:pPr>
      <w:r>
        <w:rPr>
          <w:rFonts w:hint="eastAsia"/>
        </w:rPr>
        <w:t>验证规则</w:t>
      </w:r>
    </w:p>
    <w:p>
      <w:pPr>
        <w:pStyle w:val="108"/>
        <w:spacing w:before="120" w:after="120"/>
      </w:pPr>
      <w:r>
        <w:rPr>
          <w:rFonts w:hint="eastAsia"/>
        </w:rPr>
        <w:t>检验规则</w:t>
      </w:r>
    </w:p>
    <w:p>
      <w:pPr>
        <w:pStyle w:val="59"/>
        <w:ind w:firstLine="420"/>
      </w:pPr>
      <w:r>
        <w:rPr>
          <w:rFonts w:hint="eastAsia"/>
        </w:rPr>
        <w:t>检验规则应遵循以下几点：</w:t>
      </w:r>
    </w:p>
    <w:p>
      <w:pPr>
        <w:pStyle w:val="177"/>
      </w:pPr>
      <w:r>
        <w:rPr>
          <w:rFonts w:hint="eastAsia"/>
        </w:rPr>
        <w:t>新产品投产前或准备用于实验之前，应对本文件中所有项目进行检验；</w:t>
      </w:r>
    </w:p>
    <w:p>
      <w:pPr>
        <w:pStyle w:val="177"/>
      </w:pPr>
      <w:r>
        <w:rPr>
          <w:rFonts w:hint="eastAsia"/>
        </w:rPr>
        <w:t>产品长期停产后恢复生产时，应对本文件中所有项目进行检验；</w:t>
      </w:r>
    </w:p>
    <w:p>
      <w:pPr>
        <w:pStyle w:val="177"/>
      </w:pPr>
      <w:r>
        <w:rPr>
          <w:rFonts w:hint="eastAsia"/>
        </w:rPr>
        <w:t>原料、工艺、配方、模具的变更可能会影响产品性能时，应对可能受影响的项目增加检验次数；</w:t>
      </w:r>
    </w:p>
    <w:p>
      <w:pPr>
        <w:pStyle w:val="177"/>
      </w:pPr>
      <w:r>
        <w:rPr>
          <w:rFonts w:hint="eastAsia"/>
        </w:rPr>
        <w:t>新批次在出厂和使用前应选择本文件中相关项目进行检验。</w:t>
      </w:r>
    </w:p>
    <w:p>
      <w:pPr>
        <w:pStyle w:val="108"/>
        <w:spacing w:before="120" w:after="120"/>
      </w:pPr>
      <w:r>
        <w:rPr>
          <w:rFonts w:hint="eastAsia"/>
        </w:rPr>
        <w:t>取样判定规则</w:t>
      </w:r>
    </w:p>
    <w:p>
      <w:pPr>
        <w:pStyle w:val="59"/>
        <w:ind w:firstLine="420"/>
      </w:pPr>
      <w:r>
        <w:rPr>
          <w:rFonts w:hint="eastAsia"/>
        </w:rPr>
        <w:t>取样判定规则应遵循以下几点：</w:t>
      </w:r>
    </w:p>
    <w:p>
      <w:pPr>
        <w:pStyle w:val="177"/>
        <w:numPr>
          <w:ilvl w:val="0"/>
          <w:numId w:val="32"/>
        </w:numPr>
      </w:pPr>
      <w:r>
        <w:rPr>
          <w:rFonts w:hint="eastAsia"/>
        </w:rPr>
        <w:t>产品按批次进行检验，同一批原料一次生产的同规格产品为一批次；</w:t>
      </w:r>
    </w:p>
    <w:p>
      <w:pPr>
        <w:pStyle w:val="177"/>
      </w:pPr>
      <w:r>
        <w:rPr>
          <w:rFonts w:hint="eastAsia"/>
        </w:rPr>
        <w:t>抽样样本如有一项指标测试不合格，即可判定整体指标测试不合格；</w:t>
      </w:r>
    </w:p>
    <w:p>
      <w:pPr>
        <w:pStyle w:val="177"/>
      </w:pPr>
      <w:r>
        <w:rPr>
          <w:rFonts w:hint="eastAsia"/>
        </w:rPr>
        <w:t>抽样方案及判定标准按GB/T 2828.1—2012规定的方法执行。定义检验水平为S-4，接收质量限为AQL 2.5。</w:t>
      </w:r>
    </w:p>
    <w:bookmarkEnd w:id="20"/>
    <w:p>
      <w:pPr>
        <w:pStyle w:val="59"/>
        <w:ind w:firstLine="0" w:firstLineChars="0"/>
        <w:jc w:val="center"/>
      </w:pPr>
      <w:bookmarkStart w:id="42"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D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99A"/>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B21"/>
    <w:rsid w:val="00073C8C"/>
    <w:rsid w:val="00077B64"/>
    <w:rsid w:val="00080A1C"/>
    <w:rsid w:val="00082317"/>
    <w:rsid w:val="00083D2C"/>
    <w:rsid w:val="00086AA1"/>
    <w:rsid w:val="00087979"/>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037"/>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EC3"/>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C2C"/>
    <w:rsid w:val="002253A1"/>
    <w:rsid w:val="00225CF8"/>
    <w:rsid w:val="0022794E"/>
    <w:rsid w:val="00233D64"/>
    <w:rsid w:val="0023482A"/>
    <w:rsid w:val="002359CB"/>
    <w:rsid w:val="00243540"/>
    <w:rsid w:val="00243EFE"/>
    <w:rsid w:val="0024497B"/>
    <w:rsid w:val="0024515B"/>
    <w:rsid w:val="00246021"/>
    <w:rsid w:val="0024666E"/>
    <w:rsid w:val="00247F52"/>
    <w:rsid w:val="00250712"/>
    <w:rsid w:val="00250B25"/>
    <w:rsid w:val="00250BBE"/>
    <w:rsid w:val="002515C2"/>
    <w:rsid w:val="0025194F"/>
    <w:rsid w:val="0026148A"/>
    <w:rsid w:val="00262696"/>
    <w:rsid w:val="00263D25"/>
    <w:rsid w:val="002643C3"/>
    <w:rsid w:val="00264A0C"/>
    <w:rsid w:val="00266EEB"/>
    <w:rsid w:val="00267EF4"/>
    <w:rsid w:val="00270CB8"/>
    <w:rsid w:val="00272B08"/>
    <w:rsid w:val="00280522"/>
    <w:rsid w:val="00281BB8"/>
    <w:rsid w:val="00281E9E"/>
    <w:rsid w:val="00282405"/>
    <w:rsid w:val="002825B6"/>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0D0"/>
    <w:rsid w:val="002A4CEA"/>
    <w:rsid w:val="002A5977"/>
    <w:rsid w:val="002A5A13"/>
    <w:rsid w:val="002A757F"/>
    <w:rsid w:val="002A7F44"/>
    <w:rsid w:val="002B0C40"/>
    <w:rsid w:val="002B1966"/>
    <w:rsid w:val="002B4508"/>
    <w:rsid w:val="002B5779"/>
    <w:rsid w:val="002B7332"/>
    <w:rsid w:val="002B7F51"/>
    <w:rsid w:val="002C09E7"/>
    <w:rsid w:val="002C1A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4B1"/>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CCC"/>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1A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50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865"/>
    <w:rsid w:val="00543BDA"/>
    <w:rsid w:val="005441CC"/>
    <w:rsid w:val="005479DA"/>
    <w:rsid w:val="00547BCC"/>
    <w:rsid w:val="0055013B"/>
    <w:rsid w:val="00551F6F"/>
    <w:rsid w:val="00555044"/>
    <w:rsid w:val="00561475"/>
    <w:rsid w:val="00562308"/>
    <w:rsid w:val="0056487B"/>
    <w:rsid w:val="00564FB9"/>
    <w:rsid w:val="00573D9E"/>
    <w:rsid w:val="005800B3"/>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383"/>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585"/>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7F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545"/>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B9E"/>
    <w:rsid w:val="008603CE"/>
    <w:rsid w:val="008620FC"/>
    <w:rsid w:val="008627A5"/>
    <w:rsid w:val="00863E05"/>
    <w:rsid w:val="00865ACA"/>
    <w:rsid w:val="00865D28"/>
    <w:rsid w:val="00865F85"/>
    <w:rsid w:val="00867C10"/>
    <w:rsid w:val="00870439"/>
    <w:rsid w:val="00870C1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DAE"/>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00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23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0C2"/>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C20"/>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5F1"/>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3E"/>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580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8B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9DC"/>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3AD7"/>
    <w:rsid w:val="00E34A98"/>
    <w:rsid w:val="00E35D1E"/>
    <w:rsid w:val="00E364F9"/>
    <w:rsid w:val="00E365FA"/>
    <w:rsid w:val="00E36789"/>
    <w:rsid w:val="00E44A83"/>
    <w:rsid w:val="00E502C1"/>
    <w:rsid w:val="00E502DD"/>
    <w:rsid w:val="00E50D3A"/>
    <w:rsid w:val="00E51387"/>
    <w:rsid w:val="00E51E68"/>
    <w:rsid w:val="00E52EFD"/>
    <w:rsid w:val="00E5408A"/>
    <w:rsid w:val="00E5447D"/>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034"/>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82A"/>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B7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33"/>
    <w:semiHidden/>
    <w:unhideWhenUsed/>
    <w:uiPriority w:val="99"/>
    <w:pPr>
      <w:jc w:val="left"/>
    </w:pPr>
  </w:style>
  <w:style w:type="paragraph" w:styleId="14">
    <w:name w:val="Body Text"/>
    <w:basedOn w:val="1"/>
    <w:link w:val="89"/>
    <w:uiPriority w:val="0"/>
    <w:pPr>
      <w:spacing w:after="120"/>
    </w:pPr>
  </w:style>
  <w:style w:type="paragraph" w:styleId="15">
    <w:name w:val="toc 5"/>
    <w:basedOn w:val="1"/>
    <w:next w:val="1"/>
    <w:unhideWhenUsed/>
    <w:uiPriority w:val="39"/>
    <w:pPr>
      <w:ind w:left="839"/>
    </w:pPr>
    <w:rPr>
      <w:rFonts w:ascii="宋体"/>
    </w:rPr>
  </w:style>
  <w:style w:type="paragraph" w:styleId="16">
    <w:name w:val="toc 3"/>
    <w:basedOn w:val="1"/>
    <w:next w:val="1"/>
    <w:unhideWhenUsed/>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uiPriority w:val="99"/>
    <w:pPr>
      <w:tabs>
        <w:tab w:val="center" w:pos="4153"/>
        <w:tab w:val="right" w:pos="8306"/>
      </w:tabs>
      <w:adjustRightInd/>
      <w:snapToGrid w:val="0"/>
      <w:jc w:val="center"/>
    </w:pPr>
    <w:rPr>
      <w:sz w:val="18"/>
      <w:szCs w:val="18"/>
    </w:rPr>
  </w:style>
  <w:style w:type="paragraph" w:styleId="20">
    <w:name w:val="toc 1"/>
    <w:basedOn w:val="1"/>
    <w:next w:val="1"/>
    <w:unhideWhenUsed/>
    <w:uiPriority w:val="39"/>
    <w:rPr>
      <w:rFonts w:ascii="宋体"/>
    </w:rPr>
  </w:style>
  <w:style w:type="paragraph" w:styleId="21">
    <w:name w:val="toc 4"/>
    <w:basedOn w:val="1"/>
    <w:next w:val="1"/>
    <w:unhideWhenUsed/>
    <w:uiPriority w:val="39"/>
    <w:pPr>
      <w:tabs>
        <w:tab w:val="right" w:leader="dot" w:pos="9344"/>
      </w:tabs>
      <w:spacing w:line="300" w:lineRule="exact"/>
      <w:ind w:left="629"/>
    </w:pPr>
    <w:rPr>
      <w:rFonts w:ascii="宋体"/>
    </w:rPr>
  </w:style>
  <w:style w:type="paragraph" w:styleId="22">
    <w:name w:val="footnote text"/>
    <w:basedOn w:val="1"/>
    <w:next w:val="1"/>
    <w:link w:val="102"/>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unhideWhenUsed/>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uiPriority w:val="99"/>
    <w:rPr>
      <w:b/>
      <w:bCs/>
    </w:rPr>
  </w:style>
  <w:style w:type="table" w:styleId="29">
    <w:name w:val="Table Grid"/>
    <w:basedOn w:val="2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iPriority w:val="0"/>
    <w:rPr>
      <w:rFonts w:ascii="宋体" w:hAnsi="Times New Roman" w:eastAsia="宋体"/>
      <w:sz w:val="18"/>
    </w:rPr>
  </w:style>
  <w:style w:type="character" w:styleId="33">
    <w:name w:val="Emphasis"/>
    <w:qFormat/>
    <w:uiPriority w:val="20"/>
    <w:rPr>
      <w:i/>
      <w:iCs/>
    </w:rPr>
  </w:style>
  <w:style w:type="character" w:styleId="34">
    <w:name w:val="Hyperlink"/>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uiPriority w:val="99"/>
    <w:rPr>
      <w:sz w:val="21"/>
      <w:szCs w:val="21"/>
    </w:rPr>
  </w:style>
  <w:style w:type="character" w:styleId="36">
    <w:name w:val="footnote reference"/>
    <w:semiHidden/>
    <w:uiPriority w:val="0"/>
    <w:rPr>
      <w:rFonts w:ascii="宋体" w:hAnsi="宋体" w:eastAsia="宋体" w:cs="Times New Roman"/>
      <w:spacing w:val="0"/>
      <w:sz w:val="18"/>
      <w:vertAlign w:val="superscript"/>
    </w:rPr>
  </w:style>
  <w:style w:type="character" w:customStyle="1" w:styleId="37">
    <w:name w:val="标题 1 字符"/>
    <w:link w:val="2"/>
    <w:uiPriority w:val="0"/>
    <w:rPr>
      <w:b/>
      <w:bCs/>
      <w:kern w:val="44"/>
      <w:sz w:val="44"/>
      <w:szCs w:val="44"/>
    </w:rPr>
  </w:style>
  <w:style w:type="character" w:customStyle="1" w:styleId="38">
    <w:name w:val="标题 2 字符"/>
    <w:link w:val="3"/>
    <w:uiPriority w:val="0"/>
    <w:rPr>
      <w:rFonts w:ascii="Arial" w:hAnsi="Arial" w:eastAsia="黑体"/>
      <w:b/>
      <w:bCs/>
      <w:kern w:val="2"/>
      <w:sz w:val="32"/>
      <w:szCs w:val="32"/>
    </w:rPr>
  </w:style>
  <w:style w:type="character" w:customStyle="1" w:styleId="39">
    <w:name w:val="标题 3 字符"/>
    <w:link w:val="4"/>
    <w:uiPriority w:val="0"/>
    <w:rPr>
      <w:b/>
      <w:bCs/>
      <w:kern w:val="2"/>
      <w:sz w:val="32"/>
      <w:szCs w:val="32"/>
    </w:rPr>
  </w:style>
  <w:style w:type="character" w:customStyle="1" w:styleId="40">
    <w:name w:val="标题 4 字符"/>
    <w:link w:val="5"/>
    <w:uiPriority w:val="0"/>
    <w:rPr>
      <w:rFonts w:ascii="Arial" w:hAnsi="Arial" w:eastAsia="黑体"/>
      <w:b/>
      <w:bCs/>
      <w:kern w:val="2"/>
      <w:sz w:val="28"/>
      <w:szCs w:val="28"/>
    </w:rPr>
  </w:style>
  <w:style w:type="character" w:customStyle="1" w:styleId="41">
    <w:name w:val="标题 5 字符"/>
    <w:link w:val="6"/>
    <w:uiPriority w:val="0"/>
    <w:rPr>
      <w:b/>
      <w:bCs/>
      <w:kern w:val="2"/>
      <w:sz w:val="28"/>
      <w:szCs w:val="28"/>
    </w:rPr>
  </w:style>
  <w:style w:type="character" w:customStyle="1" w:styleId="42">
    <w:name w:val="标题 6 字符"/>
    <w:link w:val="7"/>
    <w:uiPriority w:val="0"/>
    <w:rPr>
      <w:rFonts w:ascii="Arial" w:hAnsi="Arial" w:eastAsia="黑体"/>
      <w:b/>
      <w:bCs/>
      <w:kern w:val="2"/>
      <w:sz w:val="24"/>
      <w:szCs w:val="24"/>
    </w:rPr>
  </w:style>
  <w:style w:type="character" w:customStyle="1" w:styleId="43">
    <w:name w:val="标题 7 字符"/>
    <w:link w:val="8"/>
    <w:uiPriority w:val="0"/>
    <w:rPr>
      <w:b/>
      <w:bCs/>
      <w:kern w:val="2"/>
      <w:sz w:val="24"/>
      <w:szCs w:val="24"/>
    </w:rPr>
  </w:style>
  <w:style w:type="character" w:customStyle="1" w:styleId="44">
    <w:name w:val="标题 8 字符"/>
    <w:link w:val="9"/>
    <w:uiPriority w:val="0"/>
    <w:rPr>
      <w:rFonts w:ascii="Arial" w:hAnsi="Arial" w:eastAsia="黑体"/>
      <w:kern w:val="2"/>
      <w:sz w:val="24"/>
      <w:szCs w:val="24"/>
    </w:rPr>
  </w:style>
  <w:style w:type="character" w:customStyle="1" w:styleId="45">
    <w:name w:val="标题 9 字符"/>
    <w:link w:val="10"/>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uiPriority w:val="0"/>
    <w:pPr>
      <w:spacing w:line="0" w:lineRule="atLeast"/>
    </w:pPr>
    <w:rPr>
      <w:rFonts w:ascii="黑体" w:hAnsi="宋体" w:eastAsia="黑体"/>
    </w:rPr>
  </w:style>
  <w:style w:type="paragraph" w:customStyle="1" w:styleId="58">
    <w:name w:val="标准文件_标准正文"/>
    <w:basedOn w:val="1"/>
    <w:next w:val="59"/>
    <w:uiPriority w:val="0"/>
    <w:pPr>
      <w:snapToGrid w:val="0"/>
      <w:ind w:firstLine="200" w:firstLineChars="200"/>
    </w:pPr>
    <w:rPr>
      <w:kern w:val="0"/>
    </w:rPr>
  </w:style>
  <w:style w:type="paragraph" w:customStyle="1" w:styleId="59">
    <w:name w:val="标准文件_段"/>
    <w:link w:val="187"/>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uiPriority w:val="0"/>
    <w:pPr>
      <w:adjustRightInd/>
      <w:snapToGrid/>
      <w:ind w:firstLine="0" w:firstLineChars="0"/>
    </w:pPr>
    <w:rPr>
      <w:rFonts w:ascii="宋体" w:hAnsi="宋体"/>
      <w:kern w:val="2"/>
    </w:rPr>
  </w:style>
  <w:style w:type="paragraph" w:customStyle="1" w:styleId="61">
    <w:name w:val="标准文件_标准部门"/>
    <w:basedOn w:val="1"/>
    <w:uiPriority w:val="0"/>
    <w:pPr>
      <w:jc w:val="center"/>
    </w:pPr>
    <w:rPr>
      <w:rFonts w:ascii="黑体" w:eastAsia="黑体"/>
      <w:kern w:val="0"/>
      <w:sz w:val="44"/>
    </w:rPr>
  </w:style>
  <w:style w:type="paragraph" w:customStyle="1" w:styleId="62">
    <w:name w:val="标准文件_标准代替"/>
    <w:basedOn w:val="1"/>
    <w:next w:val="1"/>
    <w:uiPriority w:val="0"/>
    <w:pPr>
      <w:spacing w:line="310" w:lineRule="exact"/>
      <w:jc w:val="right"/>
    </w:pPr>
    <w:rPr>
      <w:rFonts w:ascii="宋体" w:hAnsi="宋体"/>
      <w:kern w:val="0"/>
    </w:rPr>
  </w:style>
  <w:style w:type="paragraph" w:customStyle="1" w:styleId="63">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uiPriority w:val="0"/>
    <w:pPr>
      <w:jc w:val="left"/>
    </w:pPr>
  </w:style>
  <w:style w:type="paragraph" w:customStyle="1" w:styleId="66">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uiPriority w:val="0"/>
    <w:rPr>
      <w:rFonts w:ascii="黑体" w:eastAsia="黑体"/>
      <w:spacing w:val="0"/>
      <w:w w:val="100"/>
      <w:position w:val="3"/>
      <w:sz w:val="28"/>
    </w:rPr>
  </w:style>
  <w:style w:type="paragraph" w:customStyle="1" w:styleId="70">
    <w:name w:val="标准文件_方框数字列项"/>
    <w:basedOn w:val="59"/>
    <w:uiPriority w:val="0"/>
    <w:pPr>
      <w:numPr>
        <w:ilvl w:val="0"/>
        <w:numId w:val="3"/>
      </w:numPr>
      <w:ind w:firstLine="0" w:firstLineChars="0"/>
    </w:pPr>
  </w:style>
  <w:style w:type="paragraph" w:customStyle="1" w:styleId="71">
    <w:name w:val="标准文件_封面标准编号"/>
    <w:basedOn w:val="1"/>
    <w:next w:val="62"/>
    <w:uiPriority w:val="0"/>
    <w:pPr>
      <w:spacing w:line="310" w:lineRule="exact"/>
      <w:jc w:val="right"/>
    </w:pPr>
    <w:rPr>
      <w:rFonts w:ascii="黑体" w:eastAsia="黑体"/>
      <w:kern w:val="0"/>
      <w:sz w:val="28"/>
    </w:rPr>
  </w:style>
  <w:style w:type="paragraph" w:customStyle="1" w:styleId="72">
    <w:name w:val="标准文件_封面标准分类号"/>
    <w:basedOn w:val="1"/>
    <w:uiPriority w:val="0"/>
    <w:rPr>
      <w:rFonts w:ascii="黑体" w:eastAsia="黑体"/>
      <w:b/>
      <w:kern w:val="0"/>
      <w:sz w:val="28"/>
    </w:rPr>
  </w:style>
  <w:style w:type="paragraph" w:customStyle="1" w:styleId="73">
    <w:name w:val="标准文件_封面标准名称"/>
    <w:basedOn w:val="1"/>
    <w:uiPriority w:val="0"/>
    <w:pPr>
      <w:spacing w:line="240" w:lineRule="auto"/>
      <w:jc w:val="center"/>
    </w:pPr>
    <w:rPr>
      <w:rFonts w:ascii="黑体" w:eastAsia="黑体"/>
      <w:kern w:val="0"/>
      <w:sz w:val="52"/>
    </w:rPr>
  </w:style>
  <w:style w:type="paragraph" w:customStyle="1" w:styleId="74">
    <w:name w:val="标准文件_封面标准英文名称"/>
    <w:basedOn w:val="1"/>
    <w:uiPriority w:val="0"/>
    <w:pPr>
      <w:spacing w:line="240" w:lineRule="auto"/>
      <w:jc w:val="center"/>
    </w:pPr>
    <w:rPr>
      <w:rFonts w:ascii="黑体" w:eastAsia="黑体"/>
      <w:b/>
      <w:sz w:val="28"/>
    </w:rPr>
  </w:style>
  <w:style w:type="paragraph" w:customStyle="1" w:styleId="75">
    <w:name w:val="标准文件_封面发布日期"/>
    <w:basedOn w:val="1"/>
    <w:uiPriority w:val="0"/>
    <w:pPr>
      <w:spacing w:line="310" w:lineRule="exact"/>
    </w:pPr>
    <w:rPr>
      <w:rFonts w:ascii="黑体" w:eastAsia="黑体"/>
      <w:kern w:val="0"/>
      <w:sz w:val="28"/>
    </w:rPr>
  </w:style>
  <w:style w:type="paragraph" w:customStyle="1" w:styleId="76">
    <w:name w:val="标准文件_封面密级"/>
    <w:basedOn w:val="1"/>
    <w:uiPriority w:val="0"/>
    <w:rPr>
      <w:rFonts w:eastAsia="黑体"/>
      <w:sz w:val="32"/>
    </w:rPr>
  </w:style>
  <w:style w:type="paragraph" w:customStyle="1" w:styleId="77">
    <w:name w:val="标准文件_封面实施日期"/>
    <w:basedOn w:val="1"/>
    <w:uiPriority w:val="0"/>
    <w:pPr>
      <w:spacing w:line="310" w:lineRule="exact"/>
      <w:jc w:val="right"/>
    </w:pPr>
    <w:rPr>
      <w:rFonts w:ascii="黑体" w:eastAsia="黑体"/>
      <w:sz w:val="28"/>
    </w:rPr>
  </w:style>
  <w:style w:type="paragraph" w:customStyle="1" w:styleId="78">
    <w:name w:val="标准文件_封面抬头"/>
    <w:basedOn w:val="59"/>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uiPriority w:val="0"/>
    <w:rPr>
      <w:kern w:val="2"/>
      <w:sz w:val="21"/>
      <w:szCs w:val="21"/>
    </w:rPr>
  </w:style>
  <w:style w:type="paragraph" w:customStyle="1" w:styleId="90">
    <w:name w:val="标准文件_附录章标题"/>
    <w:next w:val="59"/>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uiPriority w:val="0"/>
    <w:pPr>
      <w:ind w:left="488" w:leftChars="200" w:hanging="289" w:hangingChars="290"/>
    </w:pPr>
  </w:style>
  <w:style w:type="paragraph" w:customStyle="1" w:styleId="92">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uiPriority w:val="0"/>
    <w:pPr>
      <w:spacing w:line="460" w:lineRule="exact"/>
      <w:ind w:left="0" w:firstLine="0"/>
    </w:pPr>
  </w:style>
  <w:style w:type="paragraph" w:customStyle="1" w:styleId="94">
    <w:name w:val="标准文件_目录标题"/>
    <w:basedOn w:val="1"/>
    <w:uiPriority w:val="0"/>
    <w:pPr>
      <w:spacing w:before="480" w:after="150" w:afterLines="150" w:line="240" w:lineRule="auto"/>
      <w:jc w:val="center"/>
    </w:pPr>
    <w:rPr>
      <w:rFonts w:ascii="黑体" w:eastAsia="黑体"/>
      <w:sz w:val="32"/>
    </w:rPr>
  </w:style>
  <w:style w:type="paragraph" w:customStyle="1" w:styleId="95">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uiPriority w:val="0"/>
    <w:pPr>
      <w:numPr>
        <w:numId w:val="10"/>
      </w:numPr>
    </w:pPr>
  </w:style>
  <w:style w:type="paragraph" w:customStyle="1" w:styleId="97">
    <w:name w:val="标准文件_三级条标题"/>
    <w:basedOn w:val="68"/>
    <w:next w:val="59"/>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uiPriority w:val="0"/>
    <w:pPr>
      <w:adjustRightInd/>
      <w:spacing w:line="240" w:lineRule="auto"/>
      <w:ind w:firstLine="200" w:firstLineChars="200"/>
    </w:pPr>
    <w:rPr>
      <w:sz w:val="18"/>
      <w:szCs w:val="24"/>
    </w:rPr>
  </w:style>
  <w:style w:type="paragraph" w:customStyle="1" w:styleId="100">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uiPriority w:val="0"/>
    <w:rPr>
      <w:rFonts w:ascii="宋体"/>
      <w:kern w:val="2"/>
      <w:sz w:val="18"/>
      <w:szCs w:val="18"/>
    </w:rPr>
  </w:style>
  <w:style w:type="paragraph" w:customStyle="1" w:styleId="103">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uiPriority w:val="0"/>
    <w:pPr>
      <w:numPr>
        <w:ilvl w:val="0"/>
        <w:numId w:val="12"/>
      </w:numPr>
      <w:spacing w:line="240" w:lineRule="auto"/>
      <w:jc w:val="left"/>
    </w:pPr>
    <w:rPr>
      <w:rFonts w:ascii="宋体" w:hAnsi="宋体"/>
      <w:sz w:val="18"/>
    </w:rPr>
  </w:style>
  <w:style w:type="character" w:customStyle="1" w:styleId="105">
    <w:name w:val="标准文件_图表脚注内容"/>
    <w:uiPriority w:val="0"/>
    <w:rPr>
      <w:rFonts w:ascii="宋体" w:hAnsi="宋体" w:eastAsia="宋体" w:cs="Times New Roman"/>
      <w:spacing w:val="0"/>
      <w:sz w:val="18"/>
      <w:vertAlign w:val="superscript"/>
    </w:rPr>
  </w:style>
  <w:style w:type="paragraph" w:customStyle="1" w:styleId="106">
    <w:name w:val="标准文件_五级条标题"/>
    <w:next w:val="59"/>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uiPriority w:val="0"/>
    <w:pPr>
      <w:numPr>
        <w:ilvl w:val="2"/>
      </w:numPr>
      <w:spacing w:before="50" w:beforeLines="50" w:after="50" w:afterLines="50"/>
      <w:outlineLvl w:val="1"/>
    </w:pPr>
  </w:style>
  <w:style w:type="paragraph" w:customStyle="1" w:styleId="109">
    <w:name w:val="标准文件_一致程度"/>
    <w:basedOn w:val="1"/>
    <w:uiPriority w:val="0"/>
    <w:pPr>
      <w:spacing w:line="440" w:lineRule="exact"/>
      <w:jc w:val="center"/>
    </w:pPr>
    <w:rPr>
      <w:sz w:val="28"/>
    </w:rPr>
  </w:style>
  <w:style w:type="paragraph" w:customStyle="1" w:styleId="110">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uiPriority w:val="0"/>
    <w:pPr>
      <w:numPr>
        <w:ilvl w:val="3"/>
        <w:numId w:val="20"/>
      </w:numPr>
      <w:adjustRightInd/>
      <w:spacing w:line="240" w:lineRule="auto"/>
    </w:pPr>
    <w:rPr>
      <w:rFonts w:ascii="宋体" w:hAnsi="宋体"/>
      <w:szCs w:val="24"/>
    </w:rPr>
  </w:style>
  <w:style w:type="paragraph" w:customStyle="1" w:styleId="122">
    <w:name w:val="发布部门"/>
    <w:next w:val="59"/>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uiPriority w:val="0"/>
    <w:pPr>
      <w:outlineLvl w:val="4"/>
    </w:pPr>
  </w:style>
  <w:style w:type="paragraph" w:customStyle="1" w:styleId="133">
    <w:name w:val="附录四级无标题条"/>
    <w:basedOn w:val="132"/>
    <w:next w:val="59"/>
    <w:uiPriority w:val="0"/>
    <w:pPr>
      <w:outlineLvl w:val="5"/>
    </w:pPr>
  </w:style>
  <w:style w:type="paragraph" w:customStyle="1" w:styleId="134">
    <w:name w:val="附录图"/>
    <w:next w:val="59"/>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uiPriority w:val="0"/>
    <w:pPr>
      <w:outlineLvl w:val="6"/>
    </w:pPr>
  </w:style>
  <w:style w:type="paragraph" w:customStyle="1" w:styleId="137">
    <w:name w:val="附录性质"/>
    <w:basedOn w:val="1"/>
    <w:uiPriority w:val="0"/>
    <w:pPr>
      <w:widowControl/>
      <w:adjustRightInd/>
      <w:jc w:val="center"/>
    </w:pPr>
    <w:rPr>
      <w:rFonts w:ascii="黑体" w:eastAsia="黑体"/>
    </w:rPr>
  </w:style>
  <w:style w:type="paragraph" w:customStyle="1" w:styleId="138">
    <w:name w:val="附录一级无标题条"/>
    <w:basedOn w:val="90"/>
    <w:next w:val="59"/>
    <w:uiPriority w:val="0"/>
    <w:pPr>
      <w:autoSpaceDN w:val="0"/>
      <w:outlineLvl w:val="2"/>
    </w:pPr>
    <w:rPr>
      <w:rFonts w:ascii="宋体" w:hAnsi="宋体" w:eastAsia="宋体"/>
    </w:rPr>
  </w:style>
  <w:style w:type="character" w:customStyle="1" w:styleId="139">
    <w:name w:val="个人答复风格"/>
    <w:uiPriority w:val="0"/>
    <w:rPr>
      <w:rFonts w:ascii="Arial" w:hAnsi="Arial" w:eastAsia="宋体" w:cs="Arial"/>
      <w:color w:val="auto"/>
      <w:spacing w:val="0"/>
      <w:sz w:val="20"/>
    </w:rPr>
  </w:style>
  <w:style w:type="character" w:customStyle="1" w:styleId="140">
    <w:name w:val="个人撰写风格"/>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uiPriority w:val="0"/>
    <w:pPr>
      <w:tabs>
        <w:tab w:val="left" w:pos="840"/>
      </w:tabs>
    </w:pPr>
  </w:style>
  <w:style w:type="paragraph" w:customStyle="1" w:styleId="14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uiPriority w:val="0"/>
    <w:pPr>
      <w:adjustRightInd/>
      <w:spacing w:line="240" w:lineRule="auto"/>
      <w:jc w:val="left"/>
    </w:pPr>
    <w:rPr>
      <w:bCs/>
      <w:iCs/>
    </w:rPr>
  </w:style>
  <w:style w:type="paragraph" w:customStyle="1" w:styleId="146">
    <w:name w:val="目录 31"/>
    <w:basedOn w:val="1"/>
    <w:next w:val="1"/>
    <w:semiHidden/>
    <w:uiPriority w:val="0"/>
    <w:pPr>
      <w:spacing w:line="240" w:lineRule="auto"/>
    </w:pPr>
    <w:rPr>
      <w:rFonts w:ascii="宋体" w:hAnsi="宋体"/>
      <w:iCs/>
    </w:rPr>
  </w:style>
  <w:style w:type="paragraph" w:customStyle="1" w:styleId="147">
    <w:name w:val="目录 41"/>
    <w:basedOn w:val="1"/>
    <w:next w:val="1"/>
    <w:semiHidden/>
    <w:uiPriority w:val="0"/>
    <w:pPr>
      <w:adjustRightInd/>
      <w:spacing w:line="240" w:lineRule="auto"/>
      <w:jc w:val="left"/>
    </w:pPr>
  </w:style>
  <w:style w:type="paragraph" w:customStyle="1" w:styleId="148">
    <w:name w:val="目录 51"/>
    <w:basedOn w:val="1"/>
    <w:next w:val="1"/>
    <w:semiHidden/>
    <w:uiPriority w:val="0"/>
    <w:pPr>
      <w:spacing w:line="240" w:lineRule="auto"/>
    </w:pPr>
    <w:rPr>
      <w:rFonts w:ascii="宋体" w:hAnsi="宋体"/>
    </w:rPr>
  </w:style>
  <w:style w:type="paragraph" w:customStyle="1" w:styleId="149">
    <w:name w:val="目录 61"/>
    <w:basedOn w:val="1"/>
    <w:next w:val="1"/>
    <w:semiHidden/>
    <w:uiPriority w:val="0"/>
    <w:pPr>
      <w:adjustRightInd/>
      <w:spacing w:line="240" w:lineRule="auto"/>
      <w:jc w:val="left"/>
    </w:pPr>
  </w:style>
  <w:style w:type="paragraph" w:customStyle="1" w:styleId="150">
    <w:name w:val="目录 71"/>
    <w:basedOn w:val="149"/>
    <w:semiHidden/>
    <w:uiPriority w:val="0"/>
    <w:pPr>
      <w:ind w:left="1260"/>
    </w:pPr>
  </w:style>
  <w:style w:type="paragraph" w:customStyle="1" w:styleId="151">
    <w:name w:val="目录 81"/>
    <w:basedOn w:val="150"/>
    <w:semiHidden/>
    <w:uiPriority w:val="0"/>
    <w:pPr>
      <w:ind w:left="1470"/>
    </w:pPr>
  </w:style>
  <w:style w:type="paragraph" w:customStyle="1" w:styleId="152">
    <w:name w:val="目录 91"/>
    <w:basedOn w:val="151"/>
    <w:semiHidden/>
    <w:uiPriority w:val="0"/>
    <w:pPr>
      <w:ind w:left="1680"/>
    </w:pPr>
  </w:style>
  <w:style w:type="paragraph" w:customStyle="1" w:styleId="153">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uiPriority w:val="0"/>
    <w:pPr>
      <w:framePr w:wrap="around"/>
      <w:spacing w:line="0" w:lineRule="atLeast"/>
    </w:pPr>
    <w:rPr>
      <w:rFonts w:ascii="黑体" w:eastAsia="黑体"/>
      <w:b w:val="0"/>
    </w:rPr>
  </w:style>
  <w:style w:type="paragraph" w:customStyle="1" w:styleId="155">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uiPriority w:val="0"/>
    <w:pPr>
      <w:numPr>
        <w:ilvl w:val="4"/>
        <w:numId w:val="20"/>
      </w:numPr>
      <w:adjustRightInd/>
      <w:spacing w:line="240" w:lineRule="auto"/>
    </w:pPr>
    <w:rPr>
      <w:rFonts w:ascii="宋体" w:hAnsi="宋体"/>
      <w:szCs w:val="24"/>
    </w:rPr>
  </w:style>
  <w:style w:type="paragraph" w:customStyle="1" w:styleId="157">
    <w:name w:val="实施日期"/>
    <w:basedOn w:val="123"/>
    <w:uiPriority w:val="0"/>
    <w:pPr>
      <w:framePr w:hSpace="0" w:wrap="around" w:xAlign="right"/>
      <w:jc w:val="right"/>
    </w:pPr>
  </w:style>
  <w:style w:type="paragraph" w:customStyle="1" w:styleId="158">
    <w:name w:val="四级无标题条"/>
    <w:basedOn w:val="1"/>
    <w:uiPriority w:val="0"/>
    <w:pPr>
      <w:numPr>
        <w:ilvl w:val="5"/>
        <w:numId w:val="20"/>
      </w:numPr>
      <w:adjustRightInd/>
      <w:spacing w:line="240" w:lineRule="auto"/>
    </w:pPr>
    <w:rPr>
      <w:rFonts w:ascii="宋体" w:hAnsi="宋体"/>
      <w:szCs w:val="24"/>
    </w:rPr>
  </w:style>
  <w:style w:type="paragraph" w:customStyle="1" w:styleId="159">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uiPriority w:val="0"/>
    <w:pPr>
      <w:numPr>
        <w:ilvl w:val="6"/>
        <w:numId w:val="20"/>
      </w:numPr>
      <w:adjustRightInd/>
    </w:pPr>
    <w:rPr>
      <w:szCs w:val="24"/>
    </w:rPr>
  </w:style>
  <w:style w:type="paragraph" w:customStyle="1" w:styleId="162">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3">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uiPriority w:val="0"/>
    <w:rPr>
      <w:rFonts w:ascii="宋体" w:hAnsi="Times New Roman" w:eastAsia="宋体" w:cs="Times New Roman"/>
      <w:sz w:val="21"/>
      <w:lang w:val="en-US" w:eastAsia="zh-CN" w:bidi="ar-SA"/>
    </w:rPr>
  </w:style>
  <w:style w:type="paragraph" w:customStyle="1" w:styleId="175">
    <w:name w:val="标准文件_三级项"/>
    <w:basedOn w:val="1"/>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uiPriority w:val="0"/>
    <w:pPr>
      <w:framePr w:w="3997" w:h="471" w:hRule="exact" w:hSpace="0" w:vSpace="181" w:wrap="around" w:vAnchor="page" w:hAnchor="page" w:x="1419" w:y="14097"/>
    </w:pPr>
  </w:style>
  <w:style w:type="paragraph" w:customStyle="1" w:styleId="197">
    <w:name w:val="其他实施日期"/>
    <w:basedOn w:val="157"/>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uiPriority w:val="0"/>
    <w:rPr>
      <w:rFonts w:ascii="黑体" w:eastAsia="黑体"/>
      <w:spacing w:val="85"/>
      <w:w w:val="100"/>
      <w:position w:val="3"/>
      <w:sz w:val="28"/>
      <w:szCs w:val="28"/>
    </w:rPr>
  </w:style>
  <w:style w:type="character" w:customStyle="1" w:styleId="233">
    <w:name w:val="批注文字 字符"/>
    <w:basedOn w:val="30"/>
    <w:link w:val="13"/>
    <w:semiHidden/>
    <w:uiPriority w:val="99"/>
    <w:rPr>
      <w:kern w:val="2"/>
      <w:sz w:val="21"/>
      <w:szCs w:val="21"/>
    </w:rPr>
  </w:style>
  <w:style w:type="character" w:customStyle="1" w:styleId="234">
    <w:name w:val="批注主题 字符"/>
    <w:basedOn w:val="233"/>
    <w:link w:val="27"/>
    <w:semiHidden/>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1C05CF754C4824A13AF9626A337B08"/>
        <w:style w:val=""/>
        <w:category>
          <w:name w:val="常规"/>
          <w:gallery w:val="placeholder"/>
        </w:category>
        <w:types>
          <w:type w:val="bbPlcHdr"/>
        </w:types>
        <w:behaviors>
          <w:behavior w:val="content"/>
        </w:behaviors>
        <w:description w:val=""/>
        <w:guid w:val="{65E9D1AC-B2DF-4601-A758-B6EB788419C4}"/>
      </w:docPartPr>
      <w:docPartBody>
        <w:p>
          <w:pPr>
            <w:pStyle w:val="5"/>
          </w:pPr>
          <w:r>
            <w:rPr>
              <w:rStyle w:val="4"/>
              <w:rFonts w:hint="eastAsia"/>
            </w:rPr>
            <w:t>单击或点击此处输入文字。</w:t>
          </w:r>
        </w:p>
      </w:docPartBody>
    </w:docPart>
    <w:docPart>
      <w:docPartPr>
        <w:name w:val="C5DE225883D143EBB2453EBC7E0914A5"/>
        <w:style w:val=""/>
        <w:category>
          <w:name w:val="常规"/>
          <w:gallery w:val="placeholder"/>
        </w:category>
        <w:types>
          <w:type w:val="bbPlcHdr"/>
        </w:types>
        <w:behaviors>
          <w:behavior w:val="content"/>
        </w:behaviors>
        <w:description w:val=""/>
        <w:guid w:val="{B23035BB-9EC8-4BDD-8551-955599773F07}"/>
      </w:docPartPr>
      <w:docPartBody>
        <w:p>
          <w:pPr>
            <w:pStyle w:val="6"/>
          </w:pPr>
          <w:r>
            <w:rPr>
              <w:rStyle w:val="4"/>
              <w:rFonts w:hint="eastAsia"/>
            </w:rPr>
            <w:t>选择一项。</w:t>
          </w:r>
        </w:p>
      </w:docPartBody>
    </w:docPart>
    <w:docPart>
      <w:docPartPr>
        <w:name w:val="917A605874C241F4AB2247869896D7AC"/>
        <w:style w:val=""/>
        <w:category>
          <w:name w:val="常规"/>
          <w:gallery w:val="placeholder"/>
        </w:category>
        <w:types>
          <w:type w:val="bbPlcHdr"/>
        </w:types>
        <w:behaviors>
          <w:behavior w:val="content"/>
        </w:behaviors>
        <w:description w:val=""/>
        <w:guid w:val="{63C33C79-E036-4E00-94C7-0B0F4B998B4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8D"/>
    <w:rsid w:val="000C655D"/>
    <w:rsid w:val="002A0819"/>
    <w:rsid w:val="00312B8D"/>
    <w:rsid w:val="005F0365"/>
    <w:rsid w:val="00B04B57"/>
    <w:rsid w:val="00B97320"/>
    <w:rsid w:val="00F83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21C05CF754C4824A13AF9626A337B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5DE225883D143EBB2453EBC7E0914A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17A605874C241F4AB2247869896D7A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6</Pages>
  <Words>644</Words>
  <Characters>3672</Characters>
  <Lines>30</Lines>
  <Paragraphs>8</Paragraphs>
  <TotalTime>13</TotalTime>
  <ScaleCrop>false</ScaleCrop>
  <LinksUpToDate>false</LinksUpToDate>
  <CharactersWithSpaces>4308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2023-04-27T08:58:00Z</dcterms:created>
  <dc:creator>刘杨杨1(Yangyang Liu)</dc:creator>
  <dc:description>&lt;config cover="true" show_menu="true" version="1.0.0" doctype="SDKXY"&gt;_x000d_
&lt;/config&gt;</dc:description>
  <cp:lastModifiedBy>WPS_1402464897</cp:lastModifiedBy>
  <cp:lastPrinted>2021-02-02T08:22:00Z</cp:lastPrinted>
  <dcterms:modified xsi:type="dcterms:W3CDTF">2023-05-06T03:05:46Z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268DD6E6C0894C6AB2EA7DF0AED3BE38_13</vt:lpwstr>
  </property>
</Properties>
</file>