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rPr>
      </w:pPr>
      <w:r>
        <w:rPr>
          <w:rFonts w:hint="eastAsia" w:ascii="宋体" w:hAnsi="宋体" w:eastAsia="宋体" w:cs="宋体"/>
          <w:b/>
          <w:sz w:val="36"/>
          <w:szCs w:val="36"/>
        </w:rPr>
        <w:t>《城市配送路径优化与智能调度指南</w:t>
      </w:r>
      <w:r>
        <w:rPr>
          <w:rFonts w:hint="eastAsia" w:ascii="宋体" w:hAnsi="宋体" w:eastAsia="宋体" w:cs="宋体"/>
          <w:b/>
          <w:sz w:val="36"/>
          <w:szCs w:val="36"/>
          <w:lang w:eastAsia="zh-CN"/>
        </w:rPr>
        <w:t>（</w:t>
      </w:r>
      <w:r>
        <w:rPr>
          <w:rFonts w:hint="eastAsia" w:ascii="宋体" w:hAnsi="宋体" w:eastAsia="宋体" w:cs="宋体"/>
          <w:b/>
          <w:sz w:val="36"/>
          <w:szCs w:val="36"/>
          <w:lang w:val="en-US" w:eastAsia="zh-CN"/>
        </w:rPr>
        <w:t>征求意见稿）</w:t>
      </w:r>
      <w:r>
        <w:rPr>
          <w:rFonts w:hint="eastAsia" w:ascii="宋体" w:hAnsi="宋体" w:eastAsia="宋体" w:cs="宋体"/>
          <w:b/>
          <w:sz w:val="36"/>
          <w:szCs w:val="36"/>
        </w:rPr>
        <w:t>》</w:t>
      </w:r>
    </w:p>
    <w:p>
      <w:pPr>
        <w:jc w:val="center"/>
        <w:rPr>
          <w:rFonts w:hint="eastAsia" w:ascii="宋体" w:hAnsi="宋体" w:eastAsia="宋体" w:cs="宋体"/>
          <w:b/>
          <w:sz w:val="36"/>
          <w:szCs w:val="36"/>
        </w:rPr>
      </w:pPr>
      <w:r>
        <w:rPr>
          <w:rFonts w:hint="eastAsia" w:ascii="宋体" w:hAnsi="宋体" w:eastAsia="宋体" w:cs="宋体"/>
          <w:b/>
          <w:sz w:val="36"/>
          <w:szCs w:val="36"/>
        </w:rPr>
        <w:t>编制说明文件</w:t>
      </w:r>
      <w:bookmarkStart w:id="0" w:name="_GoBack"/>
      <w:bookmarkEnd w:id="0"/>
    </w:p>
    <w:p>
      <w:pPr>
        <w:pStyle w:val="1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200"/>
        <w:textAlignment w:val="auto"/>
        <w:outlineLvl w:val="0"/>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一、任务来源</w:t>
      </w:r>
    </w:p>
    <w:p>
      <w:pPr>
        <w:spacing w:line="360" w:lineRule="auto"/>
        <w:ind w:firstLine="480" w:firstLineChars="200"/>
        <w:rPr>
          <w:rFonts w:ascii="Times New Roman" w:hAnsi="Times New Roman" w:cs="Times New Roman"/>
          <w:sz w:val="24"/>
        </w:rPr>
      </w:pPr>
      <w:r>
        <w:rPr>
          <w:rFonts w:hint="default" w:ascii="Times New Roman" w:hAnsi="Times New Roman" w:cs="Times New Roman"/>
          <w:sz w:val="24"/>
        </w:rPr>
        <w:t>202</w:t>
      </w:r>
      <w:r>
        <w:rPr>
          <w:rFonts w:hint="eastAsia" w:ascii="Times New Roman" w:hAnsi="Times New Roman" w:cs="Times New Roman"/>
          <w:sz w:val="24"/>
          <w:lang w:val="en-US" w:eastAsia="zh-CN"/>
        </w:rPr>
        <w:t>3</w:t>
      </w:r>
      <w:r>
        <w:rPr>
          <w:rFonts w:ascii="Times New Roman" w:hAnsi="Times New Roman" w:cs="Times New Roman"/>
          <w:sz w:val="24"/>
        </w:rPr>
        <w:t>年</w:t>
      </w:r>
      <w:r>
        <w:rPr>
          <w:rFonts w:hint="eastAsia" w:ascii="Times New Roman" w:hAnsi="Times New Roman" w:cs="Times New Roman"/>
          <w:sz w:val="24"/>
          <w:lang w:val="en-US" w:eastAsia="zh-CN"/>
        </w:rPr>
        <w:t>2</w:t>
      </w:r>
      <w:r>
        <w:rPr>
          <w:rFonts w:ascii="Times New Roman" w:hAnsi="Times New Roman" w:cs="Times New Roman"/>
          <w:sz w:val="24"/>
        </w:rPr>
        <w:t>月，由粤港澳大湾区标准创新联盟批准团体标准《</w:t>
      </w:r>
      <w:r>
        <w:rPr>
          <w:rFonts w:hint="eastAsia" w:ascii="Times New Roman" w:hAnsi="Times New Roman" w:cs="Times New Roman"/>
          <w:sz w:val="24"/>
        </w:rPr>
        <w:t>城市配送路径优化与智能调度指南</w:t>
      </w:r>
      <w:r>
        <w:rPr>
          <w:rFonts w:ascii="Times New Roman" w:hAnsi="Times New Roman" w:cs="Times New Roman"/>
          <w:sz w:val="24"/>
        </w:rPr>
        <w:t>》立项。本标准由</w:t>
      </w:r>
      <w:r>
        <w:rPr>
          <w:rFonts w:ascii="Times New Roman" w:hAnsi="Times New Roman" w:cs="Times New Roman"/>
          <w:color w:val="auto"/>
          <w:sz w:val="24"/>
        </w:rPr>
        <w:t>粤港澳大湾区标准创新联盟智慧物流委员会提出，粤港澳大湾区标准创新联盟</w:t>
      </w:r>
      <w:r>
        <w:rPr>
          <w:rFonts w:ascii="Times New Roman" w:hAnsi="Times New Roman" w:cs="Times New Roman"/>
          <w:sz w:val="24"/>
        </w:rPr>
        <w:t>归口，起草工作组由</w:t>
      </w:r>
      <w:r>
        <w:rPr>
          <w:rFonts w:hint="eastAsia" w:ascii="Times New Roman" w:hAnsi="Times New Roman" w:cs="Times New Roman"/>
          <w:sz w:val="24"/>
        </w:rPr>
        <w:t>深圳顺丰泰森控股（集团）有限公司</w:t>
      </w:r>
      <w:r>
        <w:rPr>
          <w:rFonts w:hint="eastAsia" w:ascii="Times New Roman" w:hAnsi="Times New Roman" w:cs="Times New Roman"/>
          <w:sz w:val="24"/>
          <w:lang w:eastAsia="zh-Hans"/>
        </w:rPr>
        <w:t>、</w:t>
      </w:r>
      <w:r>
        <w:rPr>
          <w:rFonts w:hint="eastAsia" w:ascii="Times New Roman" w:hAnsi="Times New Roman" w:cs="Times New Roman"/>
          <w:sz w:val="24"/>
        </w:rPr>
        <w:t>交通运输部公路科学研究院、顺丰速运有限公司、顺丰科技有限公司、丰豪供应链（香港）有限公司、嘉里物流联网有限公司、丰修科技（澳门）有限公司、日日顺供应链科技股份有限公司、京东集团股份有限公司</w:t>
      </w:r>
      <w:r>
        <w:rPr>
          <w:rFonts w:ascii="Times New Roman" w:hAnsi="Times New Roman" w:cs="Times New Roman"/>
          <w:sz w:val="24"/>
        </w:rPr>
        <w:t>组成。</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200"/>
        <w:textAlignment w:val="auto"/>
        <w:outlineLvl w:val="0"/>
        <w:rPr>
          <w:rFonts w:hint="eastAsia" w:ascii="Times New Roman" w:hAnsi="Times New Roman" w:eastAsia="黑体" w:cs="Times New Roman"/>
          <w:sz w:val="24"/>
          <w:lang w:eastAsia="zh-CN"/>
        </w:rPr>
      </w:pPr>
      <w:r>
        <w:rPr>
          <w:rFonts w:hint="eastAsia" w:ascii="Times New Roman" w:hAnsi="Times New Roman" w:eastAsia="黑体" w:cs="Times New Roman"/>
          <w:sz w:val="24"/>
          <w:lang w:val="en-US" w:eastAsia="zh-CN"/>
        </w:rPr>
        <w:t>二、</w:t>
      </w:r>
      <w:r>
        <w:rPr>
          <w:rFonts w:hint="eastAsia" w:ascii="Times New Roman" w:hAnsi="Times New Roman" w:eastAsia="黑体" w:cs="Times New Roman"/>
          <w:sz w:val="24"/>
          <w:lang w:eastAsia="zh-CN"/>
        </w:rPr>
        <w:t>编制背景、目的和意义</w:t>
      </w:r>
    </w:p>
    <w:p>
      <w:pPr>
        <w:tabs>
          <w:tab w:val="left" w:pos="709"/>
        </w:tabs>
        <w:spacing w:line="360" w:lineRule="auto"/>
        <w:ind w:firstLine="480" w:firstLineChars="200"/>
        <w:rPr>
          <w:rFonts w:hint="eastAsia" w:ascii="Times New Roman" w:hAnsi="Times New Roman" w:cs="Times New Roman"/>
          <w:sz w:val="24"/>
          <w:highlight w:val="none"/>
        </w:rPr>
      </w:pPr>
      <w:r>
        <w:rPr>
          <w:rFonts w:hint="eastAsia" w:ascii="Times New Roman" w:hAnsi="Times New Roman" w:cs="Times New Roman"/>
          <w:sz w:val="24"/>
          <w:highlight w:val="none"/>
        </w:rPr>
        <w:t>城市配送作为物流服务体系的末端，直接服务于客户本身，作用于城乡环境之中，融合于人们的生活。当前，城市居民人口的增长，批发市场、商场、超市等商贸业的集聚，加之电商爆炸式的发展，都在一定程度上引发了城市物流配送业务的迅猛增长。物流配送企业为实现集约高效的配送运营效率、降低物流配送成本，也越来越多地应用了信息化、智能化的路径优化和智能调度技术，然而由于缺乏具有科学先进的路径优化和智能调度技术应用指南，在应用技术过程中容易忽视关键因素或采取不合理的技术路线，导致相关技术无法实际应用或效果不显著。</w:t>
      </w:r>
    </w:p>
    <w:p>
      <w:pPr>
        <w:tabs>
          <w:tab w:val="left" w:pos="709"/>
        </w:tabs>
        <w:spacing w:line="360" w:lineRule="auto"/>
        <w:ind w:firstLine="480" w:firstLineChars="200"/>
        <w:rPr>
          <w:rFonts w:ascii="Times New Roman" w:hAnsi="Times New Roman" w:cs="Times New Roman"/>
          <w:sz w:val="24"/>
          <w:highlight w:val="none"/>
        </w:rPr>
      </w:pPr>
      <w:r>
        <w:rPr>
          <w:rFonts w:hint="eastAsia" w:ascii="Times New Roman" w:hAnsi="Times New Roman" w:cs="Times New Roman"/>
          <w:sz w:val="24"/>
          <w:highlight w:val="none"/>
        </w:rPr>
        <w:t>因此，本文件旨在通过研究各个城市配送场景，综合提炼出城市配送路径优化和智能调度需要考虑的共性因素（如约束、目标等），并提出技术应用整体流程，为物流配送企业开展城市物流配送业务的路径优化和智能调度提供具体操作指引。本文件的发布和实施将对于提高城市配送效率、构建现代化城市物流系统、改善城市绿色发展环境等具有重要意义。</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200"/>
        <w:textAlignment w:val="auto"/>
        <w:outlineLvl w:val="0"/>
        <w:rPr>
          <w:rFonts w:ascii="Times New Roman" w:hAnsi="Times New Roman" w:eastAsia="黑体" w:cs="Times New Roman"/>
          <w:sz w:val="24"/>
        </w:rPr>
      </w:pPr>
      <w:r>
        <w:rPr>
          <w:rFonts w:hint="eastAsia" w:ascii="Times New Roman" w:hAnsi="Times New Roman" w:eastAsia="黑体" w:cs="Times New Roman"/>
          <w:sz w:val="24"/>
          <w:lang w:val="en-US" w:eastAsia="zh-CN"/>
        </w:rPr>
        <w:t>三、</w:t>
      </w:r>
      <w:r>
        <w:rPr>
          <w:rFonts w:ascii="Times New Roman" w:hAnsi="Times New Roman" w:eastAsia="黑体" w:cs="Times New Roman"/>
          <w:sz w:val="24"/>
        </w:rPr>
        <w:t>简要编制过程</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textAlignment w:val="auto"/>
        <w:outlineLvl w:val="1"/>
        <w:rPr>
          <w:rFonts w:hint="default" w:ascii="Times New Roman" w:hAnsi="Times New Roman" w:eastAsia="黑体" w:cs="Times New Roman"/>
          <w:sz w:val="24"/>
          <w:lang w:val="en-US" w:eastAsia="zh-CN"/>
        </w:rPr>
      </w:pPr>
      <w:r>
        <w:rPr>
          <w:rFonts w:hint="eastAsia" w:ascii="Times New Roman" w:hAnsi="Times New Roman" w:eastAsia="黑体" w:cs="Times New Roman"/>
          <w:sz w:val="24"/>
          <w:lang w:eastAsia="zh-CN"/>
        </w:rPr>
        <w:t>（</w:t>
      </w:r>
      <w:r>
        <w:rPr>
          <w:rFonts w:hint="eastAsia" w:ascii="Times New Roman" w:hAnsi="Times New Roman" w:eastAsia="黑体" w:cs="Times New Roman"/>
          <w:sz w:val="24"/>
          <w:lang w:val="en-US" w:eastAsia="zh-CN"/>
        </w:rPr>
        <w:t>一）立项建议</w:t>
      </w:r>
    </w:p>
    <w:p>
      <w:pPr>
        <w:keepNext w:val="0"/>
        <w:keepLines w:val="0"/>
        <w:pageBreakBefore w:val="0"/>
        <w:widowControl w:val="0"/>
        <w:tabs>
          <w:tab w:val="left" w:pos="709"/>
        </w:tabs>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2022年12月，</w:t>
      </w:r>
      <w:r>
        <w:rPr>
          <w:rFonts w:hint="eastAsia" w:ascii="Times New Roman" w:hAnsi="Times New Roman" w:cs="Times New Roman"/>
          <w:sz w:val="24"/>
        </w:rPr>
        <w:t>深圳顺丰泰森控股（集团）有限公司</w:t>
      </w:r>
      <w:r>
        <w:rPr>
          <w:rFonts w:hint="eastAsia" w:ascii="Times New Roman" w:hAnsi="Times New Roman" w:cs="Times New Roman"/>
          <w:sz w:val="24"/>
          <w:lang w:val="en-US" w:eastAsia="zh-CN"/>
        </w:rPr>
        <w:t>在《</w:t>
      </w:r>
      <w:r>
        <w:rPr>
          <w:rFonts w:hint="eastAsia" w:ascii="Times New Roman" w:hAnsi="Times New Roman" w:cs="Times New Roman"/>
          <w:sz w:val="24"/>
        </w:rPr>
        <w:t>中国货运系统高效绿色发展制度体系构建项目</w:t>
      </w:r>
      <w:r>
        <w:rPr>
          <w:rFonts w:hint="eastAsia" w:ascii="Times New Roman" w:hAnsi="Times New Roman" w:cs="Times New Roman"/>
          <w:sz w:val="24"/>
          <w:lang w:val="en-US" w:eastAsia="zh-CN"/>
        </w:rPr>
        <w:t>》背景下，积极开展了城市配送路径优化与智能调度技术研究和标准转化。</w:t>
      </w:r>
      <w:r>
        <w:rPr>
          <w:rFonts w:hint="eastAsia" w:ascii="Times New Roman" w:hAnsi="Times New Roman" w:cs="Times New Roman"/>
          <w:sz w:val="24"/>
        </w:rPr>
        <w:t>深圳顺丰泰森控股（集团）有限公司</w:t>
      </w:r>
      <w:r>
        <w:rPr>
          <w:rFonts w:hint="eastAsia" w:ascii="Times New Roman" w:hAnsi="Times New Roman" w:cs="Times New Roman"/>
          <w:sz w:val="24"/>
          <w:lang w:val="en-US" w:eastAsia="zh-CN"/>
        </w:rPr>
        <w:t>作为牵头单位，成立了标准起草组，并初步形成</w:t>
      </w:r>
      <w:r>
        <w:rPr>
          <w:rFonts w:ascii="Times New Roman" w:hAnsi="Times New Roman" w:cs="Times New Roman"/>
          <w:sz w:val="24"/>
        </w:rPr>
        <w:t>《</w:t>
      </w:r>
      <w:r>
        <w:rPr>
          <w:rFonts w:hint="eastAsia" w:ascii="Times New Roman" w:hAnsi="Times New Roman" w:cs="Times New Roman"/>
          <w:sz w:val="24"/>
        </w:rPr>
        <w:t>城市配送路径优化与智能调度指南</w:t>
      </w:r>
      <w:r>
        <w:rPr>
          <w:rFonts w:ascii="Times New Roman" w:hAnsi="Times New Roman" w:cs="Times New Roman"/>
          <w:sz w:val="24"/>
        </w:rPr>
        <w:t>》</w:t>
      </w:r>
      <w:r>
        <w:rPr>
          <w:rFonts w:hint="eastAsia" w:ascii="Times New Roman" w:hAnsi="Times New Roman" w:cs="Times New Roman"/>
          <w:sz w:val="24"/>
          <w:lang w:val="en-US" w:eastAsia="zh-CN"/>
        </w:rPr>
        <w:t>标准的编制思路与方案。</w:t>
      </w:r>
      <w:r>
        <w:rPr>
          <w:rFonts w:ascii="Times New Roman" w:hAnsi="Times New Roman" w:cs="Times New Roman"/>
          <w:sz w:val="24"/>
        </w:rPr>
        <w:t>202</w:t>
      </w:r>
      <w:r>
        <w:rPr>
          <w:rFonts w:hint="eastAsia" w:ascii="Times New Roman" w:hAnsi="Times New Roman" w:cs="Times New Roman"/>
          <w:sz w:val="24"/>
          <w:lang w:val="en-US" w:eastAsia="zh-CN"/>
        </w:rPr>
        <w:t>3</w:t>
      </w:r>
      <w:r>
        <w:rPr>
          <w:rFonts w:ascii="Times New Roman" w:hAnsi="Times New Roman" w:cs="Times New Roman"/>
          <w:sz w:val="24"/>
        </w:rPr>
        <w:t>年</w:t>
      </w:r>
      <w:r>
        <w:rPr>
          <w:rFonts w:hint="eastAsia" w:ascii="Times New Roman" w:hAnsi="Times New Roman" w:cs="Times New Roman"/>
          <w:sz w:val="24"/>
          <w:lang w:val="en-US" w:eastAsia="zh-CN"/>
        </w:rPr>
        <w:t>1</w:t>
      </w:r>
      <w:r>
        <w:rPr>
          <w:rFonts w:ascii="Times New Roman" w:hAnsi="Times New Roman" w:cs="Times New Roman"/>
          <w:sz w:val="24"/>
        </w:rPr>
        <w:t>月，</w:t>
      </w:r>
      <w:r>
        <w:rPr>
          <w:rFonts w:hint="eastAsia" w:ascii="Times New Roman" w:hAnsi="Times New Roman" w:cs="Times New Roman"/>
          <w:sz w:val="24"/>
        </w:rPr>
        <w:t>深圳顺丰泰森控股（集团）有限公司</w:t>
      </w:r>
      <w:r>
        <w:rPr>
          <w:rFonts w:hint="eastAsia" w:ascii="Times New Roman" w:hAnsi="Times New Roman" w:cs="Times New Roman"/>
          <w:sz w:val="24"/>
          <w:lang w:val="en-US" w:eastAsia="zh-CN"/>
        </w:rPr>
        <w:t>将该标准项目立项申请书提交给</w:t>
      </w:r>
      <w:r>
        <w:rPr>
          <w:rFonts w:ascii="Times New Roman" w:hAnsi="Times New Roman" w:cs="Times New Roman"/>
          <w:color w:val="000000"/>
          <w:sz w:val="24"/>
        </w:rPr>
        <w:t>粤港澳大湾区标准创新联盟</w:t>
      </w:r>
      <w:r>
        <w:rPr>
          <w:rFonts w:ascii="Times New Roman" w:hAnsi="Times New Roman" w:cs="Times New Roman"/>
          <w:sz w:val="24"/>
        </w:rPr>
        <w:t>智慧物流委员会</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经</w:t>
      </w:r>
      <w:r>
        <w:rPr>
          <w:rFonts w:ascii="Times New Roman" w:hAnsi="Times New Roman" w:cs="Times New Roman"/>
          <w:sz w:val="24"/>
        </w:rPr>
        <w:t>智慧物流委员会</w:t>
      </w:r>
      <w:r>
        <w:rPr>
          <w:rFonts w:hint="eastAsia" w:ascii="Times New Roman" w:hAnsi="Times New Roman" w:cs="Times New Roman"/>
          <w:sz w:val="24"/>
          <w:lang w:val="en-US" w:eastAsia="zh-CN"/>
        </w:rPr>
        <w:t>讨论</w:t>
      </w:r>
      <w:r>
        <w:rPr>
          <w:rFonts w:ascii="Times New Roman" w:hAnsi="Times New Roman" w:cs="Times New Roman"/>
          <w:sz w:val="24"/>
        </w:rPr>
        <w:t>研究，确定《</w:t>
      </w:r>
      <w:r>
        <w:rPr>
          <w:rFonts w:hint="eastAsia" w:ascii="Times New Roman" w:hAnsi="Times New Roman" w:cs="Times New Roman"/>
          <w:sz w:val="24"/>
        </w:rPr>
        <w:t>城市配送路径优化与智能调度指南</w:t>
      </w:r>
      <w:r>
        <w:rPr>
          <w:rFonts w:ascii="Times New Roman" w:hAnsi="Times New Roman" w:cs="Times New Roman"/>
          <w:sz w:val="24"/>
        </w:rPr>
        <w:t>》可作为立项标准。</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textAlignment w:val="auto"/>
        <w:outlineLvl w:val="1"/>
        <w:rPr>
          <w:rFonts w:ascii="Times New Roman" w:hAnsi="Times New Roman" w:eastAsia="黑体" w:cs="Times New Roman"/>
          <w:sz w:val="24"/>
        </w:rPr>
      </w:pPr>
      <w:r>
        <w:rPr>
          <w:rFonts w:hint="eastAsia" w:ascii="Times New Roman" w:hAnsi="Times New Roman" w:eastAsia="黑体" w:cs="Times New Roman"/>
          <w:sz w:val="24"/>
          <w:lang w:eastAsia="zh-CN"/>
        </w:rPr>
        <w:t>（</w:t>
      </w:r>
      <w:r>
        <w:rPr>
          <w:rFonts w:hint="eastAsia" w:ascii="Times New Roman" w:hAnsi="Times New Roman" w:eastAsia="黑体" w:cs="Times New Roman"/>
          <w:sz w:val="24"/>
          <w:lang w:val="en-US" w:eastAsia="zh-CN"/>
        </w:rPr>
        <w:t>二）批准</w:t>
      </w:r>
      <w:r>
        <w:rPr>
          <w:rFonts w:ascii="Times New Roman" w:hAnsi="Times New Roman" w:eastAsia="黑体" w:cs="Times New Roman"/>
          <w:sz w:val="24"/>
        </w:rPr>
        <w:t>立项</w:t>
      </w:r>
    </w:p>
    <w:p>
      <w:pPr>
        <w:spacing w:line="360" w:lineRule="auto"/>
        <w:ind w:firstLine="480" w:firstLineChars="200"/>
        <w:rPr>
          <w:rFonts w:hint="eastAsia" w:ascii="Times New Roman" w:hAnsi="Times New Roman" w:cs="Times New Roman"/>
          <w:color w:val="000000"/>
          <w:sz w:val="24"/>
          <w:lang w:eastAsia="zh-CN"/>
        </w:rPr>
      </w:pPr>
      <w:r>
        <w:rPr>
          <w:rFonts w:ascii="Times New Roman" w:hAnsi="Times New Roman" w:cs="Times New Roman"/>
          <w:color w:val="000000"/>
          <w:sz w:val="24"/>
        </w:rPr>
        <w:t>202</w:t>
      </w:r>
      <w:r>
        <w:rPr>
          <w:rFonts w:hint="eastAsia" w:ascii="Times New Roman" w:hAnsi="Times New Roman" w:cs="Times New Roman"/>
          <w:color w:val="000000"/>
          <w:sz w:val="24"/>
          <w:lang w:val="en-US" w:eastAsia="zh-CN"/>
        </w:rPr>
        <w:t>3</w:t>
      </w:r>
      <w:r>
        <w:rPr>
          <w:rFonts w:ascii="Times New Roman" w:hAnsi="Times New Roman" w:cs="Times New Roman"/>
          <w:color w:val="000000"/>
          <w:sz w:val="24"/>
        </w:rPr>
        <w:t>年</w:t>
      </w:r>
      <w:r>
        <w:rPr>
          <w:rFonts w:hint="eastAsia" w:ascii="Times New Roman" w:hAnsi="Times New Roman" w:cs="Times New Roman"/>
          <w:color w:val="000000"/>
          <w:sz w:val="24"/>
          <w:lang w:val="en-US" w:eastAsia="zh-CN"/>
        </w:rPr>
        <w:t>1</w:t>
      </w:r>
      <w:r>
        <w:rPr>
          <w:rFonts w:ascii="Times New Roman" w:hAnsi="Times New Roman" w:cs="Times New Roman"/>
          <w:color w:val="000000"/>
          <w:sz w:val="24"/>
        </w:rPr>
        <w:t>月，</w:t>
      </w:r>
      <w:r>
        <w:rPr>
          <w:rFonts w:ascii="Times New Roman" w:hAnsi="Times New Roman" w:cs="Times New Roman"/>
          <w:sz w:val="24"/>
        </w:rPr>
        <w:t>智慧物流委员会</w:t>
      </w:r>
      <w:r>
        <w:rPr>
          <w:rFonts w:hint="eastAsia" w:ascii="Times New Roman" w:hAnsi="Times New Roman" w:cs="Times New Roman"/>
          <w:sz w:val="24"/>
          <w:lang w:val="en-US" w:eastAsia="zh-CN"/>
        </w:rPr>
        <w:t>将</w:t>
      </w:r>
      <w:r>
        <w:rPr>
          <w:rFonts w:ascii="Times New Roman" w:hAnsi="Times New Roman" w:cs="Times New Roman"/>
          <w:sz w:val="24"/>
        </w:rPr>
        <w:t>《</w:t>
      </w:r>
      <w:r>
        <w:rPr>
          <w:rFonts w:hint="eastAsia" w:ascii="Times New Roman" w:hAnsi="Times New Roman" w:cs="Times New Roman"/>
          <w:sz w:val="24"/>
        </w:rPr>
        <w:t>城市配送路径优化与智能调度指南</w:t>
      </w:r>
      <w:r>
        <w:rPr>
          <w:rFonts w:ascii="Times New Roman" w:hAnsi="Times New Roman" w:cs="Times New Roman"/>
          <w:sz w:val="24"/>
        </w:rPr>
        <w:t>》</w:t>
      </w:r>
      <w:r>
        <w:rPr>
          <w:rFonts w:hint="eastAsia" w:ascii="Times New Roman" w:hAnsi="Times New Roman" w:cs="Times New Roman"/>
          <w:sz w:val="24"/>
          <w:lang w:val="en-US" w:eastAsia="zh-CN"/>
        </w:rPr>
        <w:t>立项申请书提交给</w:t>
      </w:r>
      <w:r>
        <w:rPr>
          <w:rFonts w:ascii="Times New Roman" w:hAnsi="Times New Roman" w:cs="Times New Roman"/>
          <w:color w:val="000000"/>
          <w:sz w:val="24"/>
        </w:rPr>
        <w:t>粤港澳大湾区标准创新联盟</w:t>
      </w:r>
      <w:r>
        <w:rPr>
          <w:rFonts w:hint="eastAsia" w:ascii="Times New Roman" w:hAnsi="Times New Roman" w:cs="Times New Roman"/>
          <w:color w:val="000000"/>
          <w:sz w:val="24"/>
          <w:lang w:eastAsia="zh-CN"/>
        </w:rPr>
        <w:t>。</w:t>
      </w:r>
    </w:p>
    <w:p>
      <w:pPr>
        <w:spacing w:line="360" w:lineRule="auto"/>
        <w:ind w:firstLine="480" w:firstLineChars="200"/>
        <w:rPr>
          <w:rFonts w:ascii="Times New Roman" w:hAnsi="Times New Roman" w:cs="Times New Roman"/>
          <w:sz w:val="24"/>
        </w:rPr>
      </w:pPr>
      <w:r>
        <w:rPr>
          <w:rFonts w:ascii="Times New Roman" w:hAnsi="Times New Roman" w:cs="Times New Roman"/>
          <w:color w:val="000000"/>
          <w:sz w:val="24"/>
        </w:rPr>
        <w:t>202</w:t>
      </w:r>
      <w:r>
        <w:rPr>
          <w:rFonts w:hint="eastAsia" w:ascii="Times New Roman" w:hAnsi="Times New Roman" w:cs="Times New Roman"/>
          <w:color w:val="000000"/>
          <w:sz w:val="24"/>
          <w:lang w:val="en-US" w:eastAsia="zh-CN"/>
        </w:rPr>
        <w:t>3</w:t>
      </w:r>
      <w:r>
        <w:rPr>
          <w:rFonts w:ascii="Times New Roman" w:hAnsi="Times New Roman" w:cs="Times New Roman"/>
          <w:color w:val="000000"/>
          <w:sz w:val="24"/>
        </w:rPr>
        <w:t>年</w:t>
      </w:r>
      <w:r>
        <w:rPr>
          <w:rFonts w:hint="eastAsia" w:ascii="Times New Roman" w:hAnsi="Times New Roman" w:cs="Times New Roman"/>
          <w:color w:val="000000"/>
          <w:sz w:val="24"/>
          <w:lang w:val="en-US" w:eastAsia="zh-CN"/>
        </w:rPr>
        <w:t>2</w:t>
      </w:r>
      <w:r>
        <w:rPr>
          <w:rFonts w:ascii="Times New Roman" w:hAnsi="Times New Roman" w:cs="Times New Roman"/>
          <w:color w:val="000000"/>
          <w:sz w:val="24"/>
        </w:rPr>
        <w:t>月，粤港澳大湾区标准创新联盟批准</w:t>
      </w:r>
      <w:r>
        <w:rPr>
          <w:rFonts w:hint="eastAsia" w:ascii="Times New Roman" w:hAnsi="Times New Roman" w:cs="Times New Roman"/>
          <w:color w:val="000000"/>
          <w:sz w:val="24"/>
          <w:lang w:val="en-US" w:eastAsia="zh-CN"/>
        </w:rPr>
        <w:t>立项并正式下达</w:t>
      </w:r>
      <w:r>
        <w:rPr>
          <w:rFonts w:ascii="Times New Roman" w:hAnsi="Times New Roman" w:cs="Times New Roman"/>
          <w:color w:val="000000"/>
          <w:sz w:val="24"/>
        </w:rPr>
        <w:t>《</w:t>
      </w:r>
      <w:r>
        <w:rPr>
          <w:rFonts w:hint="eastAsia" w:ascii="Times New Roman" w:hAnsi="Times New Roman" w:cs="Times New Roman"/>
          <w:sz w:val="24"/>
        </w:rPr>
        <w:t>城市配送路径优化与智能调度指南</w:t>
      </w:r>
      <w:r>
        <w:rPr>
          <w:rFonts w:ascii="Times New Roman" w:hAnsi="Times New Roman" w:cs="Times New Roman"/>
          <w:color w:val="000000"/>
          <w:sz w:val="24"/>
        </w:rPr>
        <w:t>》</w:t>
      </w:r>
      <w:r>
        <w:rPr>
          <w:rFonts w:hint="eastAsia" w:ascii="Times New Roman" w:hAnsi="Times New Roman" w:cs="Times New Roman"/>
          <w:color w:val="000000"/>
          <w:sz w:val="24"/>
          <w:lang w:val="en-US" w:eastAsia="zh-CN"/>
        </w:rPr>
        <w:t>团体标准制定任务</w:t>
      </w:r>
      <w:r>
        <w:rPr>
          <w:rFonts w:ascii="Times New Roman" w:hAnsi="Times New Roman" w:cs="Times New Roman"/>
          <w:color w:val="000000"/>
          <w:sz w:val="24"/>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textAlignment w:val="auto"/>
        <w:outlineLvl w:val="1"/>
        <w:rPr>
          <w:rFonts w:ascii="Times New Roman" w:hAnsi="Times New Roman" w:eastAsia="黑体" w:cs="Times New Roman"/>
          <w:sz w:val="24"/>
        </w:rPr>
      </w:pPr>
      <w:r>
        <w:rPr>
          <w:rFonts w:hint="eastAsia" w:ascii="Times New Roman" w:hAnsi="Times New Roman" w:eastAsia="黑体" w:cs="Times New Roman"/>
          <w:sz w:val="24"/>
          <w:lang w:eastAsia="zh-CN"/>
        </w:rPr>
        <w:t>（</w:t>
      </w:r>
      <w:r>
        <w:rPr>
          <w:rFonts w:hint="eastAsia" w:ascii="Times New Roman" w:hAnsi="Times New Roman" w:eastAsia="黑体" w:cs="Times New Roman"/>
          <w:sz w:val="24"/>
          <w:lang w:val="en-US" w:eastAsia="zh-CN"/>
        </w:rPr>
        <w:t>三）</w:t>
      </w:r>
      <w:r>
        <w:rPr>
          <w:rFonts w:ascii="Times New Roman" w:hAnsi="Times New Roman" w:eastAsia="黑体" w:cs="Times New Roman"/>
          <w:sz w:val="24"/>
        </w:rPr>
        <w:t>编制草案</w:t>
      </w:r>
    </w:p>
    <w:p>
      <w:pPr>
        <w:pStyle w:val="7"/>
        <w:spacing w:before="0" w:beforeAutospacing="0" w:after="0" w:afterAutospacing="0" w:line="360" w:lineRule="auto"/>
        <w:ind w:firstLine="480" w:firstLineChars="200"/>
        <w:jc w:val="both"/>
        <w:rPr>
          <w:rFonts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202</w:t>
      </w:r>
      <w:r>
        <w:rPr>
          <w:rFonts w:hint="eastAsia" w:ascii="Times New Roman" w:hAnsi="Times New Roman" w:cs="Times New Roman" w:eastAsiaTheme="minorEastAsia"/>
          <w:color w:val="auto"/>
          <w:highlight w:val="none"/>
          <w:lang w:val="en-US" w:eastAsia="zh-CN"/>
        </w:rPr>
        <w:t>3</w:t>
      </w:r>
      <w:r>
        <w:rPr>
          <w:rFonts w:ascii="Times New Roman" w:hAnsi="Times New Roman" w:cs="Times New Roman" w:eastAsiaTheme="minorEastAsia"/>
          <w:color w:val="auto"/>
          <w:highlight w:val="none"/>
        </w:rPr>
        <w:t>年</w:t>
      </w:r>
      <w:r>
        <w:rPr>
          <w:rFonts w:hint="eastAsia" w:ascii="Times New Roman" w:hAnsi="Times New Roman" w:cs="Times New Roman" w:eastAsiaTheme="minorEastAsia"/>
          <w:color w:val="auto"/>
          <w:highlight w:val="none"/>
          <w:lang w:val="en-US" w:eastAsia="zh-CN"/>
        </w:rPr>
        <w:t>2</w:t>
      </w:r>
      <w:r>
        <w:rPr>
          <w:rFonts w:ascii="Times New Roman" w:hAnsi="Times New Roman" w:cs="Times New Roman" w:eastAsiaTheme="minorEastAsia"/>
          <w:color w:val="auto"/>
          <w:highlight w:val="none"/>
        </w:rPr>
        <w:t>月，编制组</w:t>
      </w:r>
      <w:r>
        <w:rPr>
          <w:rFonts w:ascii="Times New Roman" w:hAnsi="Times New Roman" w:cs="Times New Roman"/>
          <w:color w:val="auto"/>
          <w:highlight w:val="none"/>
        </w:rPr>
        <w:t>搭建了标准框架，并进行了任务分工。</w:t>
      </w:r>
      <w:r>
        <w:rPr>
          <w:rFonts w:ascii="Times New Roman" w:hAnsi="Times New Roman" w:cs="Times New Roman" w:eastAsiaTheme="minorEastAsia"/>
          <w:color w:val="auto"/>
          <w:highlight w:val="none"/>
        </w:rPr>
        <w:t>编制组成员收集并研读了有关于</w:t>
      </w:r>
      <w:r>
        <w:rPr>
          <w:rFonts w:hint="eastAsia" w:ascii="Times New Roman" w:hAnsi="Times New Roman" w:cs="Times New Roman" w:eastAsiaTheme="minorEastAsia"/>
          <w:color w:val="auto"/>
          <w:highlight w:val="none"/>
          <w:lang w:val="en-US" w:eastAsia="zh-CN"/>
        </w:rPr>
        <w:t>城市配送路径优化和智能调度的</w:t>
      </w:r>
      <w:r>
        <w:rPr>
          <w:rFonts w:ascii="Times New Roman" w:hAnsi="Times New Roman" w:cs="Times New Roman" w:eastAsiaTheme="minorEastAsia"/>
          <w:color w:val="auto"/>
          <w:highlight w:val="none"/>
        </w:rPr>
        <w:t>文献、标准等材料，并针对</w:t>
      </w:r>
      <w:r>
        <w:rPr>
          <w:rFonts w:hint="eastAsia" w:ascii="Times New Roman" w:hAnsi="Times New Roman" w:cs="Times New Roman" w:eastAsiaTheme="minorEastAsia"/>
          <w:color w:val="auto"/>
          <w:highlight w:val="none"/>
          <w:lang w:val="en-US" w:eastAsia="zh-CN"/>
        </w:rPr>
        <w:t>城市配送企业</w:t>
      </w:r>
      <w:r>
        <w:rPr>
          <w:rFonts w:ascii="Times New Roman" w:hAnsi="Times New Roman" w:cs="Times New Roman" w:eastAsiaTheme="minorEastAsia"/>
          <w:color w:val="auto"/>
          <w:highlight w:val="none"/>
        </w:rPr>
        <w:t>进行了访谈与调研，综合考虑以上结果，确定了</w:t>
      </w:r>
      <w:r>
        <w:rPr>
          <w:rFonts w:hint="eastAsia" w:ascii="Times New Roman" w:hAnsi="Times New Roman" w:cs="Times New Roman" w:eastAsiaTheme="minorEastAsia"/>
          <w:color w:val="auto"/>
          <w:highlight w:val="none"/>
          <w:lang w:val="en-US" w:eastAsia="zh-CN"/>
        </w:rPr>
        <w:t>城市配送路径优化和智能调度</w:t>
      </w:r>
      <w:r>
        <w:rPr>
          <w:rFonts w:hint="eastAsia" w:ascii="Times New Roman" w:hAnsi="Times New Roman" w:cs="Times New Roman" w:eastAsiaTheme="minorEastAsia"/>
          <w:color w:val="auto"/>
          <w:highlight w:val="none"/>
          <w:lang w:eastAsia="zh-CN"/>
        </w:rPr>
        <w:t>的</w:t>
      </w:r>
      <w:r>
        <w:rPr>
          <w:rFonts w:hint="eastAsia" w:ascii="Times New Roman" w:hAnsi="Times New Roman" w:cs="Times New Roman" w:eastAsiaTheme="minorEastAsia"/>
          <w:color w:val="auto"/>
          <w:highlight w:val="none"/>
          <w:lang w:val="en-US" w:eastAsia="zh-CN"/>
        </w:rPr>
        <w:t>技术要素</w:t>
      </w:r>
      <w:r>
        <w:rPr>
          <w:rFonts w:ascii="Times New Roman" w:hAnsi="Times New Roman" w:cs="Times New Roman" w:eastAsiaTheme="minorEastAsia"/>
          <w:color w:val="auto"/>
          <w:highlight w:val="none"/>
        </w:rPr>
        <w:t>，形成了标准草案</w:t>
      </w:r>
      <w:r>
        <w:rPr>
          <w:rFonts w:hint="eastAsia" w:ascii="Times New Roman" w:hAnsi="Times New Roman" w:cs="Times New Roman" w:eastAsiaTheme="minorEastAsia"/>
          <w:color w:val="auto"/>
          <w:highlight w:val="none"/>
          <w:lang w:val="en-US" w:eastAsia="zh-CN"/>
        </w:rPr>
        <w:t>讨论</w:t>
      </w:r>
      <w:r>
        <w:rPr>
          <w:rFonts w:ascii="Times New Roman" w:hAnsi="Times New Roman" w:cs="Times New Roman" w:eastAsiaTheme="minorEastAsia"/>
          <w:color w:val="auto"/>
          <w:highlight w:val="none"/>
        </w:rPr>
        <w:t>稿。</w:t>
      </w:r>
    </w:p>
    <w:p>
      <w:pPr>
        <w:pStyle w:val="7"/>
        <w:spacing w:before="0" w:beforeAutospacing="0" w:after="0" w:afterAutospacing="0" w:line="360" w:lineRule="auto"/>
        <w:ind w:firstLine="480" w:firstLineChars="200"/>
        <w:jc w:val="both"/>
        <w:rPr>
          <w:rFonts w:ascii="Times New Roman" w:hAnsi="Times New Roman" w:cs="Times New Roman"/>
          <w:highlight w:val="none"/>
        </w:rPr>
      </w:pPr>
      <w:r>
        <w:rPr>
          <w:rFonts w:ascii="Times New Roman" w:hAnsi="Times New Roman" w:cs="Times New Roman"/>
          <w:highlight w:val="none"/>
        </w:rPr>
        <w:t>202</w:t>
      </w:r>
      <w:r>
        <w:rPr>
          <w:rFonts w:hint="eastAsia" w:ascii="Times New Roman" w:hAnsi="Times New Roman" w:cs="Times New Roman"/>
          <w:highlight w:val="none"/>
          <w:lang w:val="en-US" w:eastAsia="zh-CN"/>
        </w:rPr>
        <w:t>3</w:t>
      </w:r>
      <w:r>
        <w:rPr>
          <w:rFonts w:ascii="Times New Roman" w:hAnsi="Times New Roman" w:cs="Times New Roman"/>
          <w:highlight w:val="none"/>
        </w:rPr>
        <w:t>年</w:t>
      </w:r>
      <w:r>
        <w:rPr>
          <w:rFonts w:hint="eastAsia" w:ascii="Times New Roman" w:hAnsi="Times New Roman" w:cs="Times New Roman"/>
          <w:highlight w:val="none"/>
          <w:lang w:val="en-US" w:eastAsia="zh-CN"/>
        </w:rPr>
        <w:t>3</w:t>
      </w:r>
      <w:r>
        <w:rPr>
          <w:rFonts w:ascii="Times New Roman" w:hAnsi="Times New Roman" w:cs="Times New Roman"/>
          <w:highlight w:val="none"/>
        </w:rPr>
        <w:t>月，编制组就标准草案</w:t>
      </w:r>
      <w:r>
        <w:rPr>
          <w:rFonts w:hint="eastAsia" w:ascii="Times New Roman" w:hAnsi="Times New Roman" w:cs="Times New Roman" w:eastAsiaTheme="minorEastAsia"/>
          <w:color w:val="auto"/>
          <w:highlight w:val="none"/>
          <w:lang w:val="en-US" w:eastAsia="zh-CN"/>
        </w:rPr>
        <w:t>讨论</w:t>
      </w:r>
      <w:r>
        <w:rPr>
          <w:rFonts w:ascii="Times New Roman" w:hAnsi="Times New Roman" w:cs="Times New Roman"/>
          <w:highlight w:val="none"/>
        </w:rPr>
        <w:t>稿进行了多次讨论，主要围绕文本的规范性、程序的科学性以及服务规范的合理性。编制组根据讨论结果</w:t>
      </w:r>
      <w:r>
        <w:rPr>
          <w:rFonts w:ascii="Times New Roman" w:hAnsi="Times New Roman" w:cs="Times New Roman" w:eastAsiaTheme="minorEastAsia"/>
          <w:color w:val="000000"/>
          <w:highlight w:val="none"/>
        </w:rPr>
        <w:t>不断完善草案，进行内容上的更新、格式上的修改</w:t>
      </w:r>
      <w:r>
        <w:rPr>
          <w:rFonts w:ascii="Times New Roman" w:hAnsi="Times New Roman" w:cs="Times New Roman"/>
          <w:highlight w:val="none"/>
        </w:rPr>
        <w:t>，最终</w:t>
      </w:r>
      <w:r>
        <w:rPr>
          <w:rFonts w:hint="eastAsia" w:ascii="Times New Roman" w:hAnsi="Times New Roman" w:cs="Times New Roman"/>
          <w:highlight w:val="none"/>
          <w:lang w:val="en-US" w:eastAsia="zh-CN"/>
        </w:rPr>
        <w:t>形成标准征求意见稿</w:t>
      </w:r>
      <w:r>
        <w:rPr>
          <w:rFonts w:ascii="Times New Roman" w:hAnsi="Times New Roman" w:cs="Times New Roman"/>
          <w:highlight w:val="none"/>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200"/>
        <w:textAlignment w:val="auto"/>
        <w:outlineLvl w:val="0"/>
        <w:rPr>
          <w:rFonts w:ascii="Times New Roman" w:hAnsi="Times New Roman" w:eastAsia="黑体" w:cs="Times New Roman"/>
          <w:sz w:val="24"/>
        </w:rPr>
      </w:pPr>
      <w:r>
        <w:rPr>
          <w:rFonts w:hint="eastAsia" w:ascii="Times New Roman" w:hAnsi="Times New Roman" w:eastAsia="黑体" w:cs="Times New Roman"/>
          <w:sz w:val="24"/>
          <w:lang w:val="en-US" w:eastAsia="zh-CN"/>
        </w:rPr>
        <w:t>四、</w:t>
      </w:r>
      <w:r>
        <w:rPr>
          <w:rFonts w:hint="eastAsia" w:ascii="Times New Roman" w:hAnsi="Times New Roman" w:eastAsia="黑体" w:cs="Times New Roman"/>
          <w:sz w:val="24"/>
        </w:rPr>
        <w:t>制标原则/依据和主要内容</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textAlignment w:val="auto"/>
        <w:outlineLvl w:val="1"/>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（一）制标原则/依据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cs="Times New Roman" w:hAnsiTheme="minorEastAsia"/>
          <w:sz w:val="24"/>
          <w:lang w:val="en-US" w:eastAsia="zh-CN"/>
        </w:rPr>
      </w:pPr>
      <w:r>
        <w:rPr>
          <w:rFonts w:hint="eastAsia"/>
          <w:b/>
          <w:bCs/>
          <w:sz w:val="24"/>
          <w:lang w:val="en-US" w:eastAsia="zh-CN"/>
        </w:rPr>
        <w:t>一是</w:t>
      </w:r>
      <w:r>
        <w:rPr>
          <w:rFonts w:hint="eastAsia"/>
          <w:b/>
          <w:bCs/>
          <w:sz w:val="24"/>
        </w:rPr>
        <w:t>协调一致</w:t>
      </w:r>
      <w:r>
        <w:rPr>
          <w:rFonts w:hint="eastAsia"/>
          <w:b/>
          <w:bCs/>
          <w:sz w:val="24"/>
          <w:lang w:eastAsia="zh-CN"/>
        </w:rPr>
        <w:t>：</w:t>
      </w:r>
      <w:r>
        <w:rPr>
          <w:rFonts w:hint="eastAsia"/>
          <w:sz w:val="24"/>
        </w:rPr>
        <w:t>标准研制过程主动检索、查新、比对相关的国家及行业标准，在标准内容上最大程度引用已发布标准，确保内容的一致性</w:t>
      </w:r>
      <w:r>
        <w:rPr>
          <w:rFonts w:hint="eastAsia"/>
          <w:sz w:val="24"/>
          <w:lang w:eastAsia="zh-CN"/>
        </w:rPr>
        <w:t>；</w:t>
      </w:r>
      <w:r>
        <w:rPr>
          <w:rFonts w:hint="eastAsia"/>
          <w:b/>
          <w:bCs/>
          <w:sz w:val="24"/>
          <w:lang w:val="en-US" w:eastAsia="zh-CN"/>
        </w:rPr>
        <w:t>二是科学合理：</w:t>
      </w:r>
      <w:r>
        <w:rPr>
          <w:rFonts w:hint="eastAsia" w:ascii="Times New Roman" w:cs="Times New Roman" w:hAnsiTheme="minorEastAsia"/>
          <w:sz w:val="24"/>
          <w:lang w:val="en-US" w:eastAsia="zh-Hans"/>
        </w:rPr>
        <w:t>路径优化与智能调度技术指南</w:t>
      </w:r>
      <w:r>
        <w:rPr>
          <w:rFonts w:hint="eastAsia" w:ascii="Times New Roman" w:cs="Times New Roman" w:hAnsiTheme="minorEastAsia"/>
          <w:sz w:val="24"/>
        </w:rPr>
        <w:t>要求充分考虑</w:t>
      </w:r>
      <w:r>
        <w:rPr>
          <w:rFonts w:hint="eastAsia" w:ascii="Times New Roman" w:cs="Times New Roman" w:hAnsiTheme="minorEastAsia"/>
          <w:sz w:val="24"/>
          <w:lang w:val="en-US" w:eastAsia="zh-CN"/>
        </w:rPr>
        <w:t>业内</w:t>
      </w:r>
      <w:r>
        <w:rPr>
          <w:rFonts w:hint="eastAsia" w:ascii="Times New Roman" w:cs="Times New Roman" w:hAnsiTheme="minorEastAsia"/>
          <w:sz w:val="24"/>
          <w:lang w:val="en-US" w:eastAsia="zh-Hans"/>
        </w:rPr>
        <w:t>实践现状</w:t>
      </w:r>
      <w:r>
        <w:rPr>
          <w:rFonts w:hint="eastAsia" w:ascii="Times New Roman" w:cs="Times New Roman" w:hAnsiTheme="minorEastAsia"/>
          <w:sz w:val="24"/>
        </w:rPr>
        <w:t>，</w:t>
      </w:r>
      <w:r>
        <w:rPr>
          <w:rFonts w:hint="eastAsia" w:ascii="Times New Roman" w:cs="Times New Roman" w:hAnsiTheme="minorEastAsia"/>
          <w:sz w:val="24"/>
          <w:lang w:val="en-US" w:eastAsia="zh-CN"/>
        </w:rPr>
        <w:t>合理</w:t>
      </w:r>
      <w:r>
        <w:rPr>
          <w:rFonts w:hint="eastAsia" w:ascii="Times New Roman" w:cs="Times New Roman" w:hAnsiTheme="minorEastAsia"/>
          <w:sz w:val="24"/>
          <w:lang w:val="en-US" w:eastAsia="zh-Hans"/>
        </w:rPr>
        <w:t>设计考虑的关键要素</w:t>
      </w:r>
      <w:r>
        <w:rPr>
          <w:rFonts w:hint="eastAsia" w:ascii="Times New Roman" w:cs="Times New Roman" w:hAnsiTheme="minorEastAsia"/>
          <w:sz w:val="24"/>
          <w:lang w:val="en-US" w:eastAsia="zh-CN"/>
        </w:rPr>
        <w:t>；</w:t>
      </w:r>
      <w:r>
        <w:rPr>
          <w:rFonts w:hint="eastAsia" w:ascii="Times New Roman" w:cs="Times New Roman" w:hAnsiTheme="minorEastAsia"/>
          <w:b/>
          <w:bCs/>
          <w:sz w:val="24"/>
          <w:lang w:val="en-US" w:eastAsia="zh-CN"/>
        </w:rPr>
        <w:t>三是规范严谨：</w:t>
      </w:r>
      <w:r>
        <w:rPr>
          <w:rFonts w:hint="eastAsia" w:ascii="Times New Roman" w:cs="Times New Roman" w:hAnsiTheme="minorEastAsia"/>
          <w:sz w:val="24"/>
          <w:lang w:val="en-US" w:eastAsia="zh-CN"/>
        </w:rPr>
        <w:t>按照国家标准 GB/T1.1-2020《标准化工作导则 第1部分：标准化文件的结构和起草规则》的要求统一和规范标准的结构、表述规则、编排格式和制定程序。</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textAlignment w:val="auto"/>
        <w:outlineLvl w:val="1"/>
        <w:rPr>
          <w:rFonts w:hint="eastAsia"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（二）主要内容</w:t>
      </w:r>
    </w:p>
    <w:p>
      <w:pPr>
        <w:spacing w:line="360" w:lineRule="auto"/>
        <w:ind w:firstLine="480" w:firstLineChars="200"/>
        <w:rPr>
          <w:rFonts w:hint="eastAsia" w:eastAsiaTheme="minorEastAsia"/>
          <w:sz w:val="24"/>
          <w:lang w:val="en-US" w:eastAsia="zh-CN"/>
        </w:rPr>
      </w:pPr>
      <w:r>
        <w:rPr>
          <w:rFonts w:hint="eastAsia"/>
          <w:sz w:val="24"/>
        </w:rPr>
        <w:t>规范了相关术语和定义、</w:t>
      </w:r>
      <w:r>
        <w:rPr>
          <w:rFonts w:hint="eastAsia"/>
          <w:sz w:val="24"/>
          <w:lang w:val="en-US" w:eastAsia="zh-Hans"/>
        </w:rPr>
        <w:t>基本原则、路径优化和智能调度的场景、方案和验证、信息系统</w:t>
      </w:r>
      <w:r>
        <w:rPr>
          <w:rFonts w:hint="eastAsia"/>
          <w:sz w:val="24"/>
          <w:lang w:val="en-US" w:eastAsia="zh-CN"/>
        </w:rPr>
        <w:t>等，</w:t>
      </w:r>
      <w:r>
        <w:rPr>
          <w:rFonts w:hint="eastAsia"/>
          <w:sz w:val="24"/>
        </w:rPr>
        <w:t>如下</w:t>
      </w:r>
      <w:r>
        <w:rPr>
          <w:rFonts w:hint="eastAsia"/>
          <w:sz w:val="24"/>
          <w:lang w:eastAsia="zh-CN"/>
        </w:rPr>
        <w:t>。</w:t>
      </w:r>
    </w:p>
    <w:p>
      <w:pPr>
        <w:spacing w:line="360" w:lineRule="auto"/>
        <w:ind w:firstLine="480" w:firstLineChars="200"/>
        <w:rPr>
          <w:sz w:val="24"/>
        </w:rPr>
      </w:pPr>
      <w:r>
        <w:rPr>
          <w:rFonts w:hint="eastAsia"/>
          <w:sz w:val="24"/>
        </w:rPr>
        <w:t>——</w:t>
      </w:r>
      <w:r>
        <w:rPr>
          <w:sz w:val="24"/>
        </w:rPr>
        <w:t>3</w:t>
      </w:r>
      <w:r>
        <w:rPr>
          <w:rFonts w:hint="eastAsia"/>
          <w:sz w:val="24"/>
        </w:rPr>
        <w:t>术语和定义</w:t>
      </w:r>
    </w:p>
    <w:p>
      <w:pPr>
        <w:spacing w:line="360" w:lineRule="auto"/>
        <w:ind w:firstLine="480" w:firstLineChars="200"/>
        <w:rPr>
          <w:sz w:val="24"/>
        </w:rPr>
      </w:pPr>
      <w:r>
        <w:rPr>
          <w:rFonts w:hint="eastAsia"/>
          <w:sz w:val="24"/>
        </w:rPr>
        <w:t>——4</w:t>
      </w:r>
      <w:r>
        <w:rPr>
          <w:rFonts w:hint="eastAsia"/>
          <w:sz w:val="24"/>
          <w:lang w:val="en-US" w:eastAsia="zh-Hans"/>
        </w:rPr>
        <w:t>基本原则</w:t>
      </w:r>
    </w:p>
    <w:p>
      <w:pPr>
        <w:spacing w:line="360" w:lineRule="auto"/>
        <w:ind w:firstLine="480" w:firstLineChars="200"/>
        <w:rPr>
          <w:sz w:val="24"/>
        </w:rPr>
      </w:pPr>
      <w:r>
        <w:rPr>
          <w:rFonts w:hint="eastAsia"/>
          <w:sz w:val="24"/>
        </w:rPr>
        <w:t>——</w:t>
      </w:r>
      <w:r>
        <w:rPr>
          <w:rFonts w:hint="default"/>
          <w:sz w:val="24"/>
        </w:rPr>
        <w:t xml:space="preserve">5 </w:t>
      </w:r>
      <w:r>
        <w:rPr>
          <w:rFonts w:hint="eastAsia"/>
          <w:sz w:val="24"/>
          <w:lang w:val="en-US" w:eastAsia="zh-Hans"/>
        </w:rPr>
        <w:t>路径优化</w:t>
      </w:r>
    </w:p>
    <w:p>
      <w:pPr>
        <w:spacing w:line="360" w:lineRule="auto"/>
        <w:ind w:firstLine="960" w:firstLineChars="400"/>
        <w:rPr>
          <w:sz w:val="24"/>
        </w:rPr>
      </w:pPr>
      <w:r>
        <w:rPr>
          <w:rFonts w:hint="default"/>
          <w:sz w:val="24"/>
        </w:rPr>
        <w:t xml:space="preserve">5.1 </w:t>
      </w:r>
      <w:r>
        <w:rPr>
          <w:rFonts w:hint="eastAsia"/>
          <w:sz w:val="24"/>
          <w:lang w:val="en-US" w:eastAsia="zh-Hans"/>
        </w:rPr>
        <w:t>确定路径优化目标</w:t>
      </w:r>
    </w:p>
    <w:p>
      <w:pPr>
        <w:spacing w:line="360" w:lineRule="auto"/>
        <w:ind w:firstLine="960" w:firstLineChars="400"/>
        <w:rPr>
          <w:sz w:val="24"/>
        </w:rPr>
      </w:pPr>
      <w:r>
        <w:rPr>
          <w:rFonts w:hint="default"/>
          <w:sz w:val="24"/>
        </w:rPr>
        <w:t xml:space="preserve">5.2 </w:t>
      </w:r>
      <w:r>
        <w:rPr>
          <w:rFonts w:hint="eastAsia"/>
          <w:sz w:val="24"/>
          <w:lang w:val="en-US" w:eastAsia="zh-Hans"/>
        </w:rPr>
        <w:t>获取相关基础信息</w:t>
      </w:r>
    </w:p>
    <w:p>
      <w:pPr>
        <w:spacing w:line="360" w:lineRule="auto"/>
        <w:ind w:firstLine="960" w:firstLineChars="400"/>
        <w:rPr>
          <w:sz w:val="24"/>
        </w:rPr>
      </w:pPr>
      <w:r>
        <w:rPr>
          <w:sz w:val="24"/>
        </w:rPr>
        <w:t>5.</w:t>
      </w:r>
      <w:r>
        <w:rPr>
          <w:rFonts w:hint="default"/>
          <w:sz w:val="24"/>
        </w:rPr>
        <w:t xml:space="preserve">3 </w:t>
      </w:r>
      <w:r>
        <w:rPr>
          <w:rFonts w:hint="eastAsia"/>
          <w:sz w:val="24"/>
          <w:lang w:val="en-US" w:eastAsia="zh-Hans"/>
        </w:rPr>
        <w:t>设计路径优化模型</w:t>
      </w:r>
    </w:p>
    <w:p>
      <w:pPr>
        <w:spacing w:line="360" w:lineRule="auto"/>
        <w:ind w:firstLine="960" w:firstLineChars="400"/>
        <w:rPr>
          <w:sz w:val="24"/>
        </w:rPr>
      </w:pPr>
      <w:r>
        <w:rPr>
          <w:sz w:val="24"/>
        </w:rPr>
        <w:t>5.</w:t>
      </w:r>
      <w:r>
        <w:rPr>
          <w:rFonts w:hint="default"/>
          <w:sz w:val="24"/>
        </w:rPr>
        <w:t xml:space="preserve">4 </w:t>
      </w:r>
      <w:r>
        <w:rPr>
          <w:rFonts w:hint="eastAsia"/>
          <w:sz w:val="24"/>
          <w:lang w:val="en-US" w:eastAsia="zh-Hans"/>
        </w:rPr>
        <w:t>模型测试验证</w:t>
      </w:r>
    </w:p>
    <w:p>
      <w:pPr>
        <w:spacing w:line="360" w:lineRule="auto"/>
        <w:ind w:firstLine="480" w:firstLineChars="200"/>
        <w:rPr>
          <w:rFonts w:hint="eastAsia"/>
          <w:sz w:val="24"/>
        </w:rPr>
      </w:pPr>
      <w:r>
        <w:rPr>
          <w:rFonts w:hint="eastAsia"/>
          <w:sz w:val="24"/>
        </w:rPr>
        <w:t>——</w:t>
      </w:r>
      <w:r>
        <w:rPr>
          <w:rFonts w:hint="default"/>
          <w:sz w:val="24"/>
        </w:rPr>
        <w:t xml:space="preserve">6 </w:t>
      </w:r>
      <w:r>
        <w:rPr>
          <w:rFonts w:hint="eastAsia"/>
          <w:sz w:val="24"/>
          <w:lang w:val="en-US" w:eastAsia="zh-Hans"/>
        </w:rPr>
        <w:t>智能调度</w:t>
      </w:r>
    </w:p>
    <w:p>
      <w:pPr>
        <w:spacing w:line="360" w:lineRule="auto"/>
        <w:ind w:firstLine="960" w:firstLineChars="400"/>
        <w:rPr>
          <w:rFonts w:hint="eastAsia"/>
          <w:sz w:val="24"/>
        </w:rPr>
      </w:pPr>
      <w:r>
        <w:rPr>
          <w:rFonts w:hint="default"/>
          <w:sz w:val="24"/>
        </w:rPr>
        <w:t xml:space="preserve">6.1 </w:t>
      </w:r>
      <w:r>
        <w:rPr>
          <w:rFonts w:hint="eastAsia"/>
          <w:sz w:val="24"/>
          <w:lang w:val="en-US" w:eastAsia="zh-Hans"/>
        </w:rPr>
        <w:t>确定调度场景</w:t>
      </w:r>
    </w:p>
    <w:p>
      <w:pPr>
        <w:spacing w:line="360" w:lineRule="auto"/>
        <w:ind w:firstLine="960" w:firstLineChars="400"/>
        <w:rPr>
          <w:rFonts w:hint="eastAsia"/>
          <w:sz w:val="24"/>
        </w:rPr>
      </w:pPr>
      <w:r>
        <w:rPr>
          <w:rFonts w:hint="default"/>
          <w:sz w:val="24"/>
        </w:rPr>
        <w:t xml:space="preserve">6.2 </w:t>
      </w:r>
      <w:r>
        <w:rPr>
          <w:rFonts w:hint="eastAsia"/>
          <w:sz w:val="24"/>
          <w:lang w:val="en-US" w:eastAsia="zh-Hans"/>
        </w:rPr>
        <w:t>分析调度需求</w:t>
      </w:r>
    </w:p>
    <w:p>
      <w:pPr>
        <w:spacing w:line="360" w:lineRule="auto"/>
        <w:ind w:firstLine="960" w:firstLineChars="400"/>
        <w:rPr>
          <w:rFonts w:hint="eastAsia"/>
          <w:sz w:val="24"/>
        </w:rPr>
      </w:pPr>
      <w:r>
        <w:rPr>
          <w:rFonts w:hint="default"/>
          <w:sz w:val="24"/>
        </w:rPr>
        <w:t xml:space="preserve">6.3 </w:t>
      </w:r>
      <w:r>
        <w:rPr>
          <w:rFonts w:hint="eastAsia"/>
          <w:sz w:val="24"/>
          <w:lang w:val="en-US" w:eastAsia="zh-Hans"/>
        </w:rPr>
        <w:t>制定调度方案</w:t>
      </w:r>
    </w:p>
    <w:p>
      <w:pPr>
        <w:spacing w:line="360" w:lineRule="auto"/>
        <w:ind w:firstLine="960" w:firstLineChars="400"/>
        <w:rPr>
          <w:rFonts w:hint="eastAsia"/>
          <w:sz w:val="24"/>
        </w:rPr>
      </w:pPr>
      <w:r>
        <w:rPr>
          <w:rFonts w:hint="default"/>
          <w:sz w:val="24"/>
        </w:rPr>
        <w:t xml:space="preserve">6.4 </w:t>
      </w:r>
      <w:r>
        <w:rPr>
          <w:rFonts w:hint="eastAsia"/>
          <w:sz w:val="24"/>
          <w:lang w:val="en-US" w:eastAsia="zh-Hans"/>
        </w:rPr>
        <w:t>方案测试验证</w:t>
      </w:r>
    </w:p>
    <w:p>
      <w:pPr>
        <w:spacing w:line="360" w:lineRule="auto"/>
        <w:ind w:firstLine="480" w:firstLineChars="200"/>
        <w:rPr>
          <w:rFonts w:hint="eastAsia"/>
          <w:sz w:val="24"/>
        </w:rPr>
      </w:pPr>
      <w:r>
        <w:rPr>
          <w:rFonts w:hint="eastAsia"/>
          <w:sz w:val="24"/>
        </w:rPr>
        <w:t>——</w:t>
      </w:r>
      <w:r>
        <w:rPr>
          <w:rFonts w:hint="default"/>
          <w:sz w:val="24"/>
        </w:rPr>
        <w:t xml:space="preserve">7 </w:t>
      </w:r>
      <w:r>
        <w:rPr>
          <w:rFonts w:hint="eastAsia"/>
          <w:sz w:val="24"/>
          <w:lang w:val="en-US" w:eastAsia="zh-Hans"/>
        </w:rPr>
        <w:t>信息系统</w:t>
      </w:r>
    </w:p>
    <w:p>
      <w:pPr>
        <w:spacing w:line="360" w:lineRule="auto"/>
        <w:ind w:firstLine="960" w:firstLineChars="400"/>
        <w:rPr>
          <w:rFonts w:hint="eastAsia"/>
          <w:sz w:val="24"/>
        </w:rPr>
      </w:pPr>
      <w:r>
        <w:rPr>
          <w:rFonts w:hint="default"/>
          <w:sz w:val="24"/>
        </w:rPr>
        <w:t>7.</w:t>
      </w:r>
      <w:r>
        <w:rPr>
          <w:rFonts w:hint="eastAsia"/>
          <w:sz w:val="24"/>
          <w:lang w:val="en-US" w:eastAsia="zh-CN"/>
        </w:rPr>
        <w:t>1</w:t>
      </w:r>
      <w:r>
        <w:rPr>
          <w:rFonts w:hint="default"/>
          <w:sz w:val="24"/>
        </w:rPr>
        <w:t xml:space="preserve"> </w:t>
      </w:r>
      <w:r>
        <w:rPr>
          <w:rFonts w:hint="eastAsia"/>
          <w:sz w:val="24"/>
          <w:lang w:val="en-US" w:eastAsia="zh-Hans"/>
        </w:rPr>
        <w:t>路径优化</w:t>
      </w:r>
    </w:p>
    <w:p>
      <w:pPr>
        <w:spacing w:line="360" w:lineRule="auto"/>
        <w:ind w:firstLine="960" w:firstLineChars="400"/>
        <w:rPr>
          <w:rFonts w:hint="eastAsia" w:eastAsiaTheme="minorEastAsia"/>
          <w:sz w:val="24"/>
          <w:lang w:eastAsia="zh-CN"/>
        </w:rPr>
      </w:pPr>
      <w:r>
        <w:rPr>
          <w:rFonts w:hint="default"/>
          <w:sz w:val="24"/>
        </w:rPr>
        <w:t>7.</w:t>
      </w:r>
      <w:r>
        <w:rPr>
          <w:rFonts w:hint="eastAsia"/>
          <w:sz w:val="24"/>
          <w:lang w:val="en-US" w:eastAsia="zh-CN"/>
        </w:rPr>
        <w:t>2</w:t>
      </w:r>
      <w:r>
        <w:rPr>
          <w:rFonts w:hint="default"/>
          <w:sz w:val="24"/>
        </w:rPr>
        <w:t xml:space="preserve"> </w:t>
      </w:r>
      <w:r>
        <w:rPr>
          <w:rFonts w:hint="eastAsia"/>
          <w:sz w:val="24"/>
          <w:lang w:val="en-US" w:eastAsia="zh-Hans"/>
        </w:rPr>
        <w:t>智能调度</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firstLine="480" w:firstLineChars="200"/>
        <w:textAlignment w:val="auto"/>
        <w:outlineLvl w:val="0"/>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hint="eastAsia" w:ascii="Times New Roman" w:hAnsi="Times New Roman" w:eastAsia="黑体" w:cs="Times New Roman"/>
          <w:sz w:val="24"/>
        </w:rPr>
        <w:t>国内外相关研究依据、技术标准</w:t>
      </w:r>
    </w:p>
    <w:p>
      <w:pPr>
        <w:spacing w:line="360" w:lineRule="auto"/>
        <w:ind w:firstLine="480" w:firstLineChars="200"/>
        <w:rPr>
          <w:sz w:val="24"/>
        </w:rPr>
      </w:pPr>
      <w:r>
        <w:rPr>
          <w:rFonts w:hint="eastAsia"/>
          <w:sz w:val="24"/>
        </w:rPr>
        <w:t>从</w:t>
      </w:r>
      <w:r>
        <w:rPr>
          <w:rFonts w:hint="eastAsia"/>
          <w:sz w:val="24"/>
          <w:lang w:val="en-US" w:eastAsia="zh-Hans"/>
        </w:rPr>
        <w:t>城市配送的路径优化和智能调度技术研究</w:t>
      </w:r>
      <w:r>
        <w:rPr>
          <w:rFonts w:hint="eastAsia"/>
          <w:sz w:val="24"/>
        </w:rPr>
        <w:t>来看，</w:t>
      </w:r>
      <w:r>
        <w:rPr>
          <w:rFonts w:hint="eastAsia"/>
          <w:sz w:val="24"/>
          <w:lang w:val="en-US" w:eastAsia="zh-CN"/>
        </w:rPr>
        <w:t>缺少针对物流行业</w:t>
      </w:r>
      <w:r>
        <w:rPr>
          <w:rFonts w:hint="eastAsia"/>
          <w:sz w:val="24"/>
          <w:lang w:val="en-US" w:eastAsia="zh-Hans"/>
        </w:rPr>
        <w:t>城市配送场景下的路径优化和智能调度技术使用</w:t>
      </w:r>
      <w:r>
        <w:rPr>
          <w:rFonts w:hint="eastAsia"/>
          <w:sz w:val="24"/>
          <w:lang w:val="en-US" w:eastAsia="zh-CN"/>
        </w:rPr>
        <w:t>规范，</w:t>
      </w:r>
      <w:r>
        <w:rPr>
          <w:rFonts w:hint="eastAsia"/>
          <w:sz w:val="24"/>
          <w:lang w:val="en-US" w:eastAsia="zh-Hans"/>
        </w:rPr>
        <w:t>不同物流企业在实践中</w:t>
      </w:r>
      <w:r>
        <w:rPr>
          <w:rFonts w:hint="eastAsia"/>
          <w:sz w:val="24"/>
          <w:lang w:val="en-US" w:eastAsia="zh-CN"/>
        </w:rPr>
        <w:t>尚未形成统一规则，不利于行业数字化</w:t>
      </w:r>
      <w:r>
        <w:rPr>
          <w:rFonts w:hint="eastAsia"/>
          <w:sz w:val="24"/>
          <w:lang w:val="en-US" w:eastAsia="zh-Hans"/>
        </w:rPr>
        <w:t>和智能化</w:t>
      </w:r>
      <w:r>
        <w:rPr>
          <w:rFonts w:hint="eastAsia"/>
          <w:sz w:val="24"/>
          <w:lang w:val="en-US" w:eastAsia="zh-CN"/>
        </w:rPr>
        <w:t>能力建设</w:t>
      </w:r>
      <w:r>
        <w:rPr>
          <w:rFonts w:hint="eastAsia"/>
          <w:sz w:val="24"/>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200"/>
        <w:textAlignment w:val="auto"/>
        <w:outlineLvl w:val="0"/>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六、</w:t>
      </w:r>
      <w:r>
        <w:rPr>
          <w:rFonts w:hint="eastAsia" w:ascii="Times New Roman" w:hAnsi="Times New Roman" w:eastAsia="黑体" w:cs="Times New Roman"/>
          <w:sz w:val="24"/>
        </w:rPr>
        <w:t>重大分歧意见的处理经过和依据</w:t>
      </w:r>
    </w:p>
    <w:p>
      <w:pPr>
        <w:spacing w:line="360" w:lineRule="auto"/>
        <w:ind w:firstLine="480" w:firstLineChars="200"/>
        <w:rPr>
          <w:sz w:val="24"/>
        </w:rPr>
      </w:pPr>
      <w:r>
        <w:rPr>
          <w:rFonts w:hint="eastAsia"/>
          <w:sz w:val="24"/>
        </w:rPr>
        <w:t>本标准在编写过程中无重大分歧意见。</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200"/>
        <w:textAlignment w:val="auto"/>
        <w:outlineLvl w:val="0"/>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七、</w:t>
      </w:r>
      <w:r>
        <w:rPr>
          <w:rFonts w:hint="eastAsia" w:ascii="Times New Roman" w:hAnsi="Times New Roman" w:eastAsia="黑体" w:cs="Times New Roman"/>
          <w:sz w:val="24"/>
        </w:rPr>
        <w:t>贯彻标准的要求和措施建议</w:t>
      </w:r>
    </w:p>
    <w:p>
      <w:pPr>
        <w:spacing w:line="360" w:lineRule="auto"/>
        <w:ind w:firstLine="480" w:firstLineChars="200"/>
        <w:rPr>
          <w:sz w:val="24"/>
        </w:rPr>
      </w:pPr>
      <w:r>
        <w:rPr>
          <w:rFonts w:ascii="Times New Roman" w:cs="Times New Roman" w:hAnsiTheme="minorEastAsia"/>
          <w:sz w:val="24"/>
        </w:rPr>
        <w:t>在本标准通过审核、批准发布之后，由相关部门组织力量对本标准进行宣贯，在行业内进行推广。建议本标准自发布之</w:t>
      </w:r>
      <w:r>
        <w:rPr>
          <w:rFonts w:hint="eastAsia" w:ascii="Times New Roman" w:cs="Times New Roman" w:hAnsiTheme="minorEastAsia"/>
          <w:sz w:val="24"/>
        </w:rPr>
        <w:t>日起</w:t>
      </w:r>
      <w:r>
        <w:rPr>
          <w:rFonts w:ascii="Times New Roman" w:cs="Times New Roman" w:hAnsiTheme="minorEastAsia"/>
          <w:sz w:val="24"/>
        </w:rPr>
        <w:t>开始实施</w:t>
      </w:r>
      <w:r>
        <w:rPr>
          <w:rFonts w:hint="eastAsia" w:ascii="Times New Roman" w:cs="Times New Roman" w:hAnsiTheme="minorEastAsia"/>
          <w:sz w:val="24"/>
        </w:rPr>
        <w:t>。</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Chars="200"/>
        <w:textAlignment w:val="auto"/>
        <w:outlineLvl w:val="0"/>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八、</w:t>
      </w:r>
      <w:r>
        <w:rPr>
          <w:rFonts w:hint="eastAsia" w:ascii="Times New Roman" w:hAnsi="Times New Roman" w:eastAsia="黑体" w:cs="Times New Roman"/>
          <w:sz w:val="24"/>
        </w:rPr>
        <w:t>其他应予说明的事项</w:t>
      </w:r>
    </w:p>
    <w:p>
      <w:pPr>
        <w:spacing w:line="360" w:lineRule="auto"/>
        <w:ind w:firstLine="480" w:firstLineChars="200"/>
        <w:rPr>
          <w:sz w:val="24"/>
        </w:rPr>
      </w:pPr>
      <w:r>
        <w:rPr>
          <w:rFonts w:hint="eastAsia"/>
          <w:sz w:val="24"/>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ODU5NGQ3MWU4NjBjMjVhNmY2YjgwMTdjYmE1YmUifQ=="/>
  </w:docVars>
  <w:rsids>
    <w:rsidRoot w:val="00667620"/>
    <w:rsid w:val="00010B5A"/>
    <w:rsid w:val="00025930"/>
    <w:rsid w:val="00034D8F"/>
    <w:rsid w:val="000412FB"/>
    <w:rsid w:val="00056EA1"/>
    <w:rsid w:val="000609A5"/>
    <w:rsid w:val="00071F85"/>
    <w:rsid w:val="00086118"/>
    <w:rsid w:val="00091682"/>
    <w:rsid w:val="000F1422"/>
    <w:rsid w:val="000F202F"/>
    <w:rsid w:val="00102288"/>
    <w:rsid w:val="00114E9E"/>
    <w:rsid w:val="0012124A"/>
    <w:rsid w:val="001216A6"/>
    <w:rsid w:val="00121DED"/>
    <w:rsid w:val="00152F4A"/>
    <w:rsid w:val="001B486B"/>
    <w:rsid w:val="001C32E6"/>
    <w:rsid w:val="001D5265"/>
    <w:rsid w:val="00223551"/>
    <w:rsid w:val="00232C65"/>
    <w:rsid w:val="00232F7E"/>
    <w:rsid w:val="0023784A"/>
    <w:rsid w:val="00242686"/>
    <w:rsid w:val="00246C33"/>
    <w:rsid w:val="0025113F"/>
    <w:rsid w:val="00261653"/>
    <w:rsid w:val="00264524"/>
    <w:rsid w:val="002A2CFA"/>
    <w:rsid w:val="002A6498"/>
    <w:rsid w:val="002B4B0A"/>
    <w:rsid w:val="002B7B58"/>
    <w:rsid w:val="00313E0E"/>
    <w:rsid w:val="003661C6"/>
    <w:rsid w:val="003708D2"/>
    <w:rsid w:val="00385F2D"/>
    <w:rsid w:val="00394075"/>
    <w:rsid w:val="0039546D"/>
    <w:rsid w:val="003A0A70"/>
    <w:rsid w:val="003A1D77"/>
    <w:rsid w:val="003A5B4D"/>
    <w:rsid w:val="003B1656"/>
    <w:rsid w:val="003B1E96"/>
    <w:rsid w:val="003B681B"/>
    <w:rsid w:val="003C4E08"/>
    <w:rsid w:val="003C73E2"/>
    <w:rsid w:val="003D2394"/>
    <w:rsid w:val="003E2709"/>
    <w:rsid w:val="003E52C8"/>
    <w:rsid w:val="00402B18"/>
    <w:rsid w:val="004136BE"/>
    <w:rsid w:val="00426FE5"/>
    <w:rsid w:val="00447265"/>
    <w:rsid w:val="0045041E"/>
    <w:rsid w:val="00451FF6"/>
    <w:rsid w:val="00457E39"/>
    <w:rsid w:val="00474F62"/>
    <w:rsid w:val="00493D04"/>
    <w:rsid w:val="004A05E1"/>
    <w:rsid w:val="004A57DA"/>
    <w:rsid w:val="004C13E9"/>
    <w:rsid w:val="004C4896"/>
    <w:rsid w:val="004E23B1"/>
    <w:rsid w:val="004E29ED"/>
    <w:rsid w:val="004E794F"/>
    <w:rsid w:val="00500849"/>
    <w:rsid w:val="005115F5"/>
    <w:rsid w:val="00545251"/>
    <w:rsid w:val="005526BD"/>
    <w:rsid w:val="005562DE"/>
    <w:rsid w:val="00571576"/>
    <w:rsid w:val="00576E8B"/>
    <w:rsid w:val="00580D26"/>
    <w:rsid w:val="00597F63"/>
    <w:rsid w:val="005A28EC"/>
    <w:rsid w:val="005D2A97"/>
    <w:rsid w:val="005E13A0"/>
    <w:rsid w:val="005E2A33"/>
    <w:rsid w:val="00614790"/>
    <w:rsid w:val="006209F5"/>
    <w:rsid w:val="00625D64"/>
    <w:rsid w:val="00634CD6"/>
    <w:rsid w:val="00642021"/>
    <w:rsid w:val="00647359"/>
    <w:rsid w:val="00650760"/>
    <w:rsid w:val="0066227F"/>
    <w:rsid w:val="00667620"/>
    <w:rsid w:val="00667CB8"/>
    <w:rsid w:val="00691434"/>
    <w:rsid w:val="006B1E14"/>
    <w:rsid w:val="006C1406"/>
    <w:rsid w:val="006E078E"/>
    <w:rsid w:val="006E1085"/>
    <w:rsid w:val="006F2B59"/>
    <w:rsid w:val="007025B9"/>
    <w:rsid w:val="00707F4C"/>
    <w:rsid w:val="007222D1"/>
    <w:rsid w:val="0072666B"/>
    <w:rsid w:val="007315D7"/>
    <w:rsid w:val="00731DA9"/>
    <w:rsid w:val="007352EF"/>
    <w:rsid w:val="00735D66"/>
    <w:rsid w:val="0074552E"/>
    <w:rsid w:val="00745CE5"/>
    <w:rsid w:val="00753B10"/>
    <w:rsid w:val="007604CF"/>
    <w:rsid w:val="00762FAA"/>
    <w:rsid w:val="0076439B"/>
    <w:rsid w:val="0077209E"/>
    <w:rsid w:val="00784805"/>
    <w:rsid w:val="007924D2"/>
    <w:rsid w:val="0079368E"/>
    <w:rsid w:val="007C387B"/>
    <w:rsid w:val="007D3464"/>
    <w:rsid w:val="007D641F"/>
    <w:rsid w:val="007E101F"/>
    <w:rsid w:val="0080084B"/>
    <w:rsid w:val="00801D31"/>
    <w:rsid w:val="00814BC1"/>
    <w:rsid w:val="008229E0"/>
    <w:rsid w:val="008348D9"/>
    <w:rsid w:val="008806D2"/>
    <w:rsid w:val="00883643"/>
    <w:rsid w:val="008870AF"/>
    <w:rsid w:val="008926FF"/>
    <w:rsid w:val="008A3E20"/>
    <w:rsid w:val="008B16E0"/>
    <w:rsid w:val="008B6D30"/>
    <w:rsid w:val="008C319D"/>
    <w:rsid w:val="008D58D0"/>
    <w:rsid w:val="008E2405"/>
    <w:rsid w:val="008E6FCB"/>
    <w:rsid w:val="008F319B"/>
    <w:rsid w:val="008F783C"/>
    <w:rsid w:val="00906C12"/>
    <w:rsid w:val="00917187"/>
    <w:rsid w:val="0092120B"/>
    <w:rsid w:val="00933582"/>
    <w:rsid w:val="00933C58"/>
    <w:rsid w:val="00955408"/>
    <w:rsid w:val="009556DE"/>
    <w:rsid w:val="00956EF2"/>
    <w:rsid w:val="00975651"/>
    <w:rsid w:val="009A6751"/>
    <w:rsid w:val="009C54EF"/>
    <w:rsid w:val="009C7D40"/>
    <w:rsid w:val="009E57FC"/>
    <w:rsid w:val="009F4027"/>
    <w:rsid w:val="009F52E9"/>
    <w:rsid w:val="00A01FFD"/>
    <w:rsid w:val="00A073B4"/>
    <w:rsid w:val="00A07DAE"/>
    <w:rsid w:val="00A116F5"/>
    <w:rsid w:val="00A14C5D"/>
    <w:rsid w:val="00A1649D"/>
    <w:rsid w:val="00A22629"/>
    <w:rsid w:val="00A71FCB"/>
    <w:rsid w:val="00A7229E"/>
    <w:rsid w:val="00A7789B"/>
    <w:rsid w:val="00A809EE"/>
    <w:rsid w:val="00A862BF"/>
    <w:rsid w:val="00A91112"/>
    <w:rsid w:val="00A94163"/>
    <w:rsid w:val="00AA62B3"/>
    <w:rsid w:val="00AB34A4"/>
    <w:rsid w:val="00AB3BF7"/>
    <w:rsid w:val="00AC6995"/>
    <w:rsid w:val="00AC7F7E"/>
    <w:rsid w:val="00AD0F05"/>
    <w:rsid w:val="00AE7CF2"/>
    <w:rsid w:val="00AF0012"/>
    <w:rsid w:val="00B01103"/>
    <w:rsid w:val="00B0305A"/>
    <w:rsid w:val="00B135BA"/>
    <w:rsid w:val="00B159DC"/>
    <w:rsid w:val="00B240AF"/>
    <w:rsid w:val="00B35CBA"/>
    <w:rsid w:val="00B6128E"/>
    <w:rsid w:val="00B6558C"/>
    <w:rsid w:val="00B75686"/>
    <w:rsid w:val="00B77F15"/>
    <w:rsid w:val="00B87A64"/>
    <w:rsid w:val="00B937EB"/>
    <w:rsid w:val="00BB1058"/>
    <w:rsid w:val="00BB2D11"/>
    <w:rsid w:val="00BB74A7"/>
    <w:rsid w:val="00BD3640"/>
    <w:rsid w:val="00BD4F95"/>
    <w:rsid w:val="00BE6879"/>
    <w:rsid w:val="00C27BE8"/>
    <w:rsid w:val="00C43F19"/>
    <w:rsid w:val="00C44F2D"/>
    <w:rsid w:val="00C53DFC"/>
    <w:rsid w:val="00C54E5D"/>
    <w:rsid w:val="00C575FD"/>
    <w:rsid w:val="00C75A89"/>
    <w:rsid w:val="00C81C0E"/>
    <w:rsid w:val="00C87072"/>
    <w:rsid w:val="00C94E80"/>
    <w:rsid w:val="00CA0222"/>
    <w:rsid w:val="00CA3260"/>
    <w:rsid w:val="00CA38A4"/>
    <w:rsid w:val="00CA61DB"/>
    <w:rsid w:val="00CB79CD"/>
    <w:rsid w:val="00CC57F1"/>
    <w:rsid w:val="00CF21E7"/>
    <w:rsid w:val="00CF7763"/>
    <w:rsid w:val="00D005F5"/>
    <w:rsid w:val="00D2094C"/>
    <w:rsid w:val="00D23E6D"/>
    <w:rsid w:val="00D31651"/>
    <w:rsid w:val="00D32C40"/>
    <w:rsid w:val="00D43598"/>
    <w:rsid w:val="00D4642D"/>
    <w:rsid w:val="00D47B12"/>
    <w:rsid w:val="00D5507C"/>
    <w:rsid w:val="00D669FC"/>
    <w:rsid w:val="00DC5BC6"/>
    <w:rsid w:val="00E004FA"/>
    <w:rsid w:val="00E01056"/>
    <w:rsid w:val="00E052A3"/>
    <w:rsid w:val="00E13717"/>
    <w:rsid w:val="00E209D8"/>
    <w:rsid w:val="00E509D6"/>
    <w:rsid w:val="00E649B1"/>
    <w:rsid w:val="00E660A0"/>
    <w:rsid w:val="00E6685C"/>
    <w:rsid w:val="00E722D8"/>
    <w:rsid w:val="00E86BF4"/>
    <w:rsid w:val="00E95497"/>
    <w:rsid w:val="00EB626E"/>
    <w:rsid w:val="00EB6AD4"/>
    <w:rsid w:val="00EC77D6"/>
    <w:rsid w:val="00ED5251"/>
    <w:rsid w:val="00ED790F"/>
    <w:rsid w:val="00EF25FB"/>
    <w:rsid w:val="00F0536E"/>
    <w:rsid w:val="00F10D1A"/>
    <w:rsid w:val="00F308B2"/>
    <w:rsid w:val="00F31BD5"/>
    <w:rsid w:val="00F36472"/>
    <w:rsid w:val="00F40D64"/>
    <w:rsid w:val="00F64D00"/>
    <w:rsid w:val="00F665FA"/>
    <w:rsid w:val="00F73604"/>
    <w:rsid w:val="00F77429"/>
    <w:rsid w:val="00F92640"/>
    <w:rsid w:val="00FC4BA3"/>
    <w:rsid w:val="00FC7E5B"/>
    <w:rsid w:val="00FD3145"/>
    <w:rsid w:val="00FF09C1"/>
    <w:rsid w:val="00FF3A0B"/>
    <w:rsid w:val="04632663"/>
    <w:rsid w:val="07C32585"/>
    <w:rsid w:val="092603EF"/>
    <w:rsid w:val="0C545334"/>
    <w:rsid w:val="0D5A6AB3"/>
    <w:rsid w:val="12106FE5"/>
    <w:rsid w:val="18EE55EB"/>
    <w:rsid w:val="193277C0"/>
    <w:rsid w:val="1A9D78AA"/>
    <w:rsid w:val="1BAB1004"/>
    <w:rsid w:val="21676CBA"/>
    <w:rsid w:val="25466757"/>
    <w:rsid w:val="290B526F"/>
    <w:rsid w:val="34BE6A11"/>
    <w:rsid w:val="3ADB79E8"/>
    <w:rsid w:val="42511E6A"/>
    <w:rsid w:val="45D5035D"/>
    <w:rsid w:val="55335980"/>
    <w:rsid w:val="56CF511D"/>
    <w:rsid w:val="5ACC34DA"/>
    <w:rsid w:val="650D702C"/>
    <w:rsid w:val="672A6CF9"/>
    <w:rsid w:val="753B2926"/>
    <w:rsid w:val="7D7A5E59"/>
    <w:rsid w:val="AEAD5103"/>
    <w:rsid w:val="BFEF57D6"/>
    <w:rsid w:val="DFBE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3"/>
    <w:next w:val="3"/>
    <w:link w:val="15"/>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99"/>
    <w:pPr>
      <w:ind w:firstLine="420" w:firstLineChars="200"/>
    </w:pPr>
  </w:style>
  <w:style w:type="character" w:customStyle="1" w:styleId="14">
    <w:name w:val="批注文字 字符"/>
    <w:basedOn w:val="10"/>
    <w:link w:val="3"/>
    <w:semiHidden/>
    <w:qFormat/>
    <w:uiPriority w:val="99"/>
    <w:rPr>
      <w:szCs w:val="24"/>
    </w:rPr>
  </w:style>
  <w:style w:type="character" w:customStyle="1" w:styleId="15">
    <w:name w:val="批注主题 字符"/>
    <w:basedOn w:val="14"/>
    <w:link w:val="8"/>
    <w:semiHidden/>
    <w:qFormat/>
    <w:uiPriority w:val="99"/>
    <w:rPr>
      <w:b/>
      <w:bCs/>
      <w:szCs w:val="24"/>
    </w:rPr>
  </w:style>
  <w:style w:type="character" w:customStyle="1" w:styleId="16">
    <w:name w:val="批注框文本 字符"/>
    <w:basedOn w:val="10"/>
    <w:link w:val="4"/>
    <w:semiHidden/>
    <w:qFormat/>
    <w:uiPriority w:val="99"/>
    <w:rPr>
      <w:sz w:val="18"/>
      <w:szCs w:val="1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1823</Words>
  <Characters>1876</Characters>
  <Lines>13</Lines>
  <Paragraphs>3</Paragraphs>
  <TotalTime>8</TotalTime>
  <ScaleCrop>false</ScaleCrop>
  <LinksUpToDate>false</LinksUpToDate>
  <CharactersWithSpaces>1891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2019-03-20T09:19:00Z</dcterms:created>
  <dc:creator>ASUS</dc:creator>
  <cp:lastModifiedBy>cheryl</cp:lastModifiedBy>
  <dcterms:modified xsi:type="dcterms:W3CDTF">2023-04-21T10:36:55Z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71C273EE213509C52665AA63BD12714E</vt:lpwstr>
  </property>
</Properties>
</file>